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1BA52" w14:textId="77777777" w:rsidR="001A025A" w:rsidRDefault="001A025A" w:rsidP="001A025A">
      <w:pPr>
        <w:jc w:val="center"/>
        <w:rPr>
          <w:rFonts w:cs="Arial"/>
          <w:b/>
          <w:color w:val="7B7B7B" w:themeColor="accent3" w:themeShade="BF"/>
        </w:rPr>
      </w:pPr>
      <w:r w:rsidRPr="00612103">
        <w:rPr>
          <w:noProof/>
          <w:color w:val="0070C0"/>
          <w:lang w:eastAsia="fr-FR"/>
        </w:rPr>
        <w:drawing>
          <wp:inline distT="0" distB="0" distL="0" distR="0" wp14:anchorId="2EE1BB1D" wp14:editId="2EE1BB1E">
            <wp:extent cx="2592413" cy="956931"/>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04208" cy="961285"/>
                    </a:xfrm>
                    <a:prstGeom prst="rect">
                      <a:avLst/>
                    </a:prstGeom>
                    <a:noFill/>
                    <a:ln>
                      <a:noFill/>
                    </a:ln>
                  </pic:spPr>
                </pic:pic>
              </a:graphicData>
            </a:graphic>
          </wp:inline>
        </w:drawing>
      </w:r>
    </w:p>
    <w:p w14:paraId="2EE1BA53" w14:textId="77777777" w:rsidR="001A025A" w:rsidRDefault="001A025A" w:rsidP="001A025A">
      <w:pPr>
        <w:jc w:val="both"/>
        <w:rPr>
          <w:rFonts w:cs="Arial"/>
          <w:b/>
          <w:color w:val="7B7B7B" w:themeColor="accent3" w:themeShade="BF"/>
        </w:rPr>
      </w:pPr>
    </w:p>
    <w:p w14:paraId="2EE1BA54" w14:textId="77777777" w:rsidR="001A025A" w:rsidRDefault="001A025A" w:rsidP="001A025A">
      <w:pPr>
        <w:jc w:val="both"/>
        <w:rPr>
          <w:rFonts w:cs="Arial"/>
          <w:b/>
          <w:color w:val="7B7B7B" w:themeColor="accent3" w:themeShade="BF"/>
        </w:rPr>
      </w:pPr>
    </w:p>
    <w:p w14:paraId="2EE1BA55" w14:textId="77777777" w:rsidR="001A025A" w:rsidRDefault="001A025A" w:rsidP="001A025A">
      <w:p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FF" w:themeFill="background1"/>
        <w:jc w:val="both"/>
        <w:rPr>
          <w:color w:val="0070C0"/>
          <w:sz w:val="56"/>
          <w:szCs w:val="40"/>
        </w:rPr>
      </w:pPr>
    </w:p>
    <w:p w14:paraId="2EE1BA56" w14:textId="77777777" w:rsidR="001A025A" w:rsidRDefault="001A025A" w:rsidP="001A025A">
      <w:p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FF" w:themeFill="background1"/>
        <w:jc w:val="both"/>
        <w:rPr>
          <w:color w:val="0070C0"/>
          <w:sz w:val="56"/>
          <w:szCs w:val="40"/>
        </w:rPr>
      </w:pPr>
    </w:p>
    <w:p w14:paraId="2EE1BA57" w14:textId="77777777" w:rsidR="001A025A" w:rsidRDefault="001A025A" w:rsidP="001A025A">
      <w:p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FF" w:themeFill="background1"/>
        <w:jc w:val="both"/>
        <w:rPr>
          <w:color w:val="0070C0"/>
          <w:sz w:val="56"/>
          <w:szCs w:val="40"/>
        </w:rPr>
      </w:pPr>
    </w:p>
    <w:p w14:paraId="2EE1BA58" w14:textId="77777777" w:rsidR="001A025A" w:rsidRDefault="001A025A" w:rsidP="001A025A">
      <w:p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FF" w:themeFill="background1"/>
        <w:jc w:val="both"/>
        <w:rPr>
          <w:color w:val="0070C0"/>
          <w:sz w:val="56"/>
          <w:szCs w:val="40"/>
        </w:rPr>
      </w:pPr>
    </w:p>
    <w:p w14:paraId="2EE1BA59" w14:textId="77777777" w:rsidR="001A025A" w:rsidRDefault="001A025A" w:rsidP="001A025A">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color w:val="0070C0"/>
          <w:sz w:val="48"/>
          <w:szCs w:val="40"/>
        </w:rPr>
      </w:pPr>
    </w:p>
    <w:p w14:paraId="2EE1BA5A" w14:textId="77777777" w:rsidR="001A025A" w:rsidRDefault="001A025A" w:rsidP="001A025A">
      <w:pPr>
        <w:pBdr>
          <w:top w:val="single" w:sz="4" w:space="1" w:color="4472C4" w:themeColor="accent1"/>
          <w:left w:val="single" w:sz="4" w:space="4" w:color="4472C4" w:themeColor="accent1"/>
          <w:bottom w:val="single" w:sz="4" w:space="1" w:color="4472C4" w:themeColor="accent1"/>
          <w:right w:val="single" w:sz="4" w:space="4" w:color="4472C4" w:themeColor="accent1"/>
        </w:pBdr>
        <w:jc w:val="center"/>
        <w:rPr>
          <w:color w:val="0070C0"/>
          <w:sz w:val="48"/>
          <w:szCs w:val="40"/>
        </w:rPr>
      </w:pPr>
      <w:r>
        <w:rPr>
          <w:color w:val="0070C0"/>
          <w:sz w:val="48"/>
          <w:szCs w:val="40"/>
        </w:rPr>
        <w:t>L’INTEROPERABILITE</w:t>
      </w:r>
    </w:p>
    <w:p w14:paraId="2EE1BA5B" w14:textId="77777777" w:rsidR="001A025A" w:rsidRPr="00F90358" w:rsidRDefault="001A025A" w:rsidP="001A025A">
      <w:pPr>
        <w:pBdr>
          <w:top w:val="single" w:sz="4" w:space="1" w:color="4472C4" w:themeColor="accent1"/>
          <w:left w:val="single" w:sz="4" w:space="4" w:color="4472C4" w:themeColor="accent1"/>
          <w:bottom w:val="single" w:sz="4" w:space="1" w:color="4472C4" w:themeColor="accent1"/>
          <w:right w:val="single" w:sz="4" w:space="4" w:color="4472C4" w:themeColor="accent1"/>
        </w:pBdr>
        <w:jc w:val="center"/>
        <w:rPr>
          <w:color w:val="0070C0"/>
          <w:sz w:val="48"/>
          <w:szCs w:val="40"/>
        </w:rPr>
      </w:pPr>
      <w:r>
        <w:rPr>
          <w:color w:val="0070C0"/>
          <w:sz w:val="48"/>
          <w:szCs w:val="40"/>
        </w:rPr>
        <w:t>ET LA GESTION DE FLUX EAI</w:t>
      </w:r>
    </w:p>
    <w:p w14:paraId="2EE1BA5C" w14:textId="77777777" w:rsidR="001A025A" w:rsidRPr="00F90358" w:rsidRDefault="001A025A" w:rsidP="001A025A">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color w:val="0070C0"/>
          <w:sz w:val="48"/>
          <w:szCs w:val="40"/>
        </w:rPr>
      </w:pPr>
    </w:p>
    <w:p w14:paraId="2EE1BA5D" w14:textId="77777777" w:rsidR="001A025A" w:rsidRDefault="001A025A" w:rsidP="001A025A">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color w:val="0070C0"/>
          <w:sz w:val="40"/>
          <w:szCs w:val="40"/>
        </w:rPr>
      </w:pPr>
    </w:p>
    <w:p w14:paraId="2EE1BA5E" w14:textId="77777777" w:rsidR="001A025A" w:rsidRDefault="001A025A" w:rsidP="001A025A">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color w:val="0070C0"/>
          <w:sz w:val="40"/>
          <w:szCs w:val="40"/>
        </w:rPr>
      </w:pPr>
    </w:p>
    <w:p w14:paraId="2EE1BA5F" w14:textId="77777777" w:rsidR="001A025A" w:rsidRDefault="001A025A" w:rsidP="001A025A">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color w:val="0070C0"/>
          <w:sz w:val="40"/>
          <w:szCs w:val="40"/>
        </w:rPr>
      </w:pPr>
    </w:p>
    <w:p w14:paraId="2EE1BA60" w14:textId="77777777" w:rsidR="001A025A" w:rsidRDefault="001A025A" w:rsidP="001A025A">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color w:val="0070C0"/>
          <w:sz w:val="40"/>
          <w:szCs w:val="40"/>
        </w:rPr>
      </w:pPr>
    </w:p>
    <w:p w14:paraId="2EE1BA61" w14:textId="77777777" w:rsidR="001A025A" w:rsidRDefault="001A025A" w:rsidP="001A025A">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color w:val="0070C0"/>
          <w:sz w:val="40"/>
          <w:szCs w:val="40"/>
        </w:rPr>
      </w:pPr>
    </w:p>
    <w:p w14:paraId="2EE1BA62" w14:textId="77777777" w:rsidR="001A025A" w:rsidRDefault="001A025A" w:rsidP="001A025A">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color w:val="0070C0"/>
          <w:sz w:val="40"/>
          <w:szCs w:val="40"/>
        </w:rPr>
      </w:pPr>
    </w:p>
    <w:p w14:paraId="2EE1BA63" w14:textId="77777777" w:rsidR="001A025A" w:rsidRPr="00D40785" w:rsidRDefault="001A025A" w:rsidP="001A025A">
      <w:pPr>
        <w:pBdr>
          <w:top w:val="single" w:sz="4" w:space="1" w:color="4472C4" w:themeColor="accent1"/>
          <w:left w:val="single" w:sz="4" w:space="4" w:color="4472C4" w:themeColor="accent1"/>
          <w:bottom w:val="single" w:sz="4" w:space="1" w:color="4472C4" w:themeColor="accent1"/>
          <w:right w:val="single" w:sz="4" w:space="4" w:color="4472C4" w:themeColor="accent1"/>
        </w:pBdr>
        <w:jc w:val="center"/>
        <w:rPr>
          <w:color w:val="0070C0"/>
          <w:sz w:val="36"/>
          <w:szCs w:val="40"/>
        </w:rPr>
      </w:pPr>
      <w:r>
        <w:rPr>
          <w:color w:val="0070C0"/>
          <w:sz w:val="28"/>
          <w:szCs w:val="40"/>
        </w:rPr>
        <w:t>V1.0</w:t>
      </w:r>
    </w:p>
    <w:tbl>
      <w:tblPr>
        <w:tblW w:w="102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49"/>
        <w:gridCol w:w="8157"/>
      </w:tblGrid>
      <w:tr w:rsidR="001A025A" w:rsidRPr="00342327" w14:paraId="2EE1BA65" w14:textId="77777777" w:rsidTr="001A025A">
        <w:tc>
          <w:tcPr>
            <w:tcW w:w="10206" w:type="dxa"/>
            <w:gridSpan w:val="2"/>
            <w:shd w:val="clear" w:color="auto" w:fill="D9D9D9" w:themeFill="background1" w:themeFillShade="D9"/>
            <w:vAlign w:val="center"/>
          </w:tcPr>
          <w:p w14:paraId="2EE1BA64" w14:textId="77777777" w:rsidR="001A025A" w:rsidRPr="00342327" w:rsidRDefault="001A025A" w:rsidP="001A025A">
            <w:pPr>
              <w:pStyle w:val="TableauTitre"/>
              <w:jc w:val="both"/>
              <w:rPr>
                <w:rFonts w:asciiTheme="minorHAnsi" w:hAnsiTheme="minorHAnsi" w:cs="Arial"/>
                <w:sz w:val="20"/>
              </w:rPr>
            </w:pPr>
            <w:r w:rsidRPr="00342327">
              <w:rPr>
                <w:rFonts w:asciiTheme="minorHAnsi" w:hAnsiTheme="minorHAnsi" w:cs="Arial"/>
                <w:sz w:val="20"/>
              </w:rPr>
              <w:lastRenderedPageBreak/>
              <w:t>Identification</w:t>
            </w:r>
          </w:p>
        </w:tc>
      </w:tr>
      <w:tr w:rsidR="001A025A" w:rsidRPr="00342327" w14:paraId="2EE1BA68" w14:textId="77777777" w:rsidTr="001A025A">
        <w:tc>
          <w:tcPr>
            <w:tcW w:w="2049" w:type="dxa"/>
            <w:shd w:val="clear" w:color="auto" w:fill="D9D9D9" w:themeFill="background1" w:themeFillShade="D9"/>
            <w:vAlign w:val="center"/>
          </w:tcPr>
          <w:p w14:paraId="2EE1BA66" w14:textId="77777777" w:rsidR="001A025A" w:rsidRPr="00342327" w:rsidRDefault="001A025A" w:rsidP="001A025A">
            <w:pPr>
              <w:pStyle w:val="TableauSoustitre"/>
              <w:jc w:val="both"/>
              <w:rPr>
                <w:rFonts w:asciiTheme="minorHAnsi" w:hAnsiTheme="minorHAnsi" w:cs="Arial"/>
                <w:sz w:val="20"/>
              </w:rPr>
            </w:pPr>
            <w:r w:rsidRPr="004C2C1E">
              <w:rPr>
                <w:rFonts w:asciiTheme="minorHAnsi" w:hAnsiTheme="minorHAnsi" w:cs="Arial"/>
                <w:sz w:val="20"/>
              </w:rPr>
              <w:t>Pôle</w:t>
            </w:r>
          </w:p>
        </w:tc>
        <w:tc>
          <w:tcPr>
            <w:tcW w:w="8157" w:type="dxa"/>
            <w:shd w:val="clear" w:color="auto" w:fill="D9D9D9" w:themeFill="background1" w:themeFillShade="D9"/>
            <w:vAlign w:val="center"/>
          </w:tcPr>
          <w:p w14:paraId="2EE1BA67" w14:textId="77777777" w:rsidR="001A025A" w:rsidRPr="00342327" w:rsidRDefault="001A025A" w:rsidP="001A025A">
            <w:pPr>
              <w:pStyle w:val="TableauSoustitre"/>
              <w:jc w:val="both"/>
              <w:rPr>
                <w:rFonts w:asciiTheme="minorHAnsi" w:hAnsiTheme="minorHAnsi" w:cs="Arial"/>
                <w:sz w:val="20"/>
              </w:rPr>
            </w:pPr>
            <w:r>
              <w:rPr>
                <w:rFonts w:asciiTheme="minorHAnsi" w:hAnsiTheme="minorHAnsi" w:cs="Arial"/>
                <w:sz w:val="20"/>
              </w:rPr>
              <w:t>Sujet</w:t>
            </w:r>
          </w:p>
        </w:tc>
      </w:tr>
      <w:tr w:rsidR="001A025A" w:rsidRPr="00342327" w14:paraId="2EE1BA6B" w14:textId="77777777" w:rsidTr="001A025A">
        <w:tc>
          <w:tcPr>
            <w:tcW w:w="2049" w:type="dxa"/>
            <w:tcBorders>
              <w:top w:val="nil"/>
            </w:tcBorders>
            <w:shd w:val="clear" w:color="FFFF00" w:fill="auto"/>
            <w:vAlign w:val="center"/>
          </w:tcPr>
          <w:p w14:paraId="2EE1BA69" w14:textId="3C00DBB7" w:rsidR="001A025A" w:rsidRPr="00342327" w:rsidRDefault="001A025A" w:rsidP="001A025A">
            <w:pPr>
              <w:pStyle w:val="Corpsdetableau"/>
              <w:rPr>
                <w:rFonts w:asciiTheme="minorHAnsi" w:hAnsiTheme="minorHAnsi" w:cs="Arial"/>
                <w:sz w:val="20"/>
              </w:rPr>
            </w:pPr>
            <w:r>
              <w:rPr>
                <w:rFonts w:asciiTheme="minorHAnsi" w:hAnsiTheme="minorHAnsi" w:cs="Arial"/>
                <w:sz w:val="20"/>
              </w:rPr>
              <w:t>DS</w:t>
            </w:r>
            <w:r w:rsidR="008D795A">
              <w:rPr>
                <w:rFonts w:asciiTheme="minorHAnsi" w:hAnsiTheme="minorHAnsi" w:cs="Arial"/>
                <w:sz w:val="20"/>
              </w:rPr>
              <w:t>N</w:t>
            </w:r>
          </w:p>
        </w:tc>
        <w:tc>
          <w:tcPr>
            <w:tcW w:w="8157" w:type="dxa"/>
            <w:tcBorders>
              <w:top w:val="nil"/>
            </w:tcBorders>
            <w:shd w:val="clear" w:color="FFFF00" w:fill="auto"/>
            <w:vAlign w:val="center"/>
          </w:tcPr>
          <w:p w14:paraId="2EE1BA6A" w14:textId="77777777" w:rsidR="001A025A" w:rsidRPr="00342327" w:rsidRDefault="001A025A" w:rsidP="001A025A">
            <w:pPr>
              <w:pStyle w:val="Corpsdetableau"/>
              <w:rPr>
                <w:rStyle w:val="RepreChamp"/>
                <w:rFonts w:asciiTheme="minorHAnsi" w:hAnsiTheme="minorHAnsi" w:cs="Arial"/>
                <w:vanish w:val="0"/>
                <w:sz w:val="20"/>
              </w:rPr>
            </w:pPr>
            <w:r>
              <w:rPr>
                <w:rFonts w:asciiTheme="minorHAnsi" w:hAnsiTheme="minorHAnsi" w:cs="Arial"/>
                <w:sz w:val="20"/>
              </w:rPr>
              <w:t>EAI (intégration d’applications d’entreprise)</w:t>
            </w:r>
          </w:p>
        </w:tc>
      </w:tr>
    </w:tbl>
    <w:p w14:paraId="2EE1BA6C" w14:textId="77777777" w:rsidR="001A025A" w:rsidRDefault="001A025A" w:rsidP="001A025A">
      <w:pPr>
        <w:jc w:val="both"/>
        <w:rPr>
          <w:rFonts w:cs="Arial"/>
          <w:sz w:val="20"/>
          <w:szCs w:val="20"/>
        </w:rPr>
      </w:pPr>
    </w:p>
    <w:tbl>
      <w:tblPr>
        <w:tblW w:w="102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52"/>
        <w:gridCol w:w="2551"/>
        <w:gridCol w:w="2693"/>
        <w:gridCol w:w="2410"/>
      </w:tblGrid>
      <w:tr w:rsidR="001A025A" w:rsidRPr="00342327" w14:paraId="2EE1BA6E" w14:textId="77777777" w:rsidTr="001A025A">
        <w:tc>
          <w:tcPr>
            <w:tcW w:w="10206" w:type="dxa"/>
            <w:gridSpan w:val="4"/>
            <w:shd w:val="clear" w:color="auto" w:fill="D9D9D9" w:themeFill="background1" w:themeFillShade="D9"/>
            <w:vAlign w:val="center"/>
          </w:tcPr>
          <w:p w14:paraId="2EE1BA6D" w14:textId="77777777" w:rsidR="001A025A" w:rsidRDefault="001A025A" w:rsidP="001A025A">
            <w:pPr>
              <w:pStyle w:val="TableauTitre"/>
              <w:jc w:val="both"/>
              <w:rPr>
                <w:rFonts w:asciiTheme="minorHAnsi" w:hAnsiTheme="minorHAnsi" w:cs="Arial"/>
                <w:sz w:val="20"/>
              </w:rPr>
            </w:pPr>
            <w:r>
              <w:rPr>
                <w:rFonts w:asciiTheme="minorHAnsi" w:hAnsiTheme="minorHAnsi" w:cs="Arial"/>
                <w:sz w:val="20"/>
              </w:rPr>
              <w:t>Classification de l’information</w:t>
            </w:r>
          </w:p>
        </w:tc>
      </w:tr>
      <w:tr w:rsidR="001A025A" w:rsidRPr="00342327" w14:paraId="2EE1BA73" w14:textId="77777777" w:rsidTr="001A025A">
        <w:tc>
          <w:tcPr>
            <w:tcW w:w="2552" w:type="dxa"/>
            <w:tcBorders>
              <w:top w:val="nil"/>
            </w:tcBorders>
            <w:shd w:val="clear" w:color="auto" w:fill="A6A6A6" w:themeFill="background1" w:themeFillShade="A6"/>
            <w:vAlign w:val="center"/>
          </w:tcPr>
          <w:p w14:paraId="2EE1BA6F" w14:textId="77777777" w:rsidR="001A025A" w:rsidRPr="00342327" w:rsidRDefault="001A025A" w:rsidP="001A025A">
            <w:pPr>
              <w:pStyle w:val="Corpsdetableau"/>
              <w:rPr>
                <w:rFonts w:asciiTheme="minorHAnsi" w:hAnsiTheme="minorHAnsi" w:cs="Arial"/>
                <w:sz w:val="20"/>
              </w:rPr>
            </w:pPr>
            <w:r w:rsidRPr="00426226">
              <w:rPr>
                <w:rFonts w:asciiTheme="minorHAnsi" w:hAnsiTheme="minorHAnsi" w:cs="Arial"/>
                <w:b/>
                <w:color w:val="FFFFFF" w:themeColor="background1"/>
                <w:sz w:val="20"/>
              </w:rPr>
              <w:t>Public</w:t>
            </w:r>
          </w:p>
        </w:tc>
        <w:tc>
          <w:tcPr>
            <w:tcW w:w="2551" w:type="dxa"/>
            <w:tcBorders>
              <w:top w:val="nil"/>
            </w:tcBorders>
            <w:shd w:val="clear" w:color="auto" w:fill="FFFFFF" w:themeFill="background1"/>
            <w:vAlign w:val="center"/>
          </w:tcPr>
          <w:p w14:paraId="2EE1BA70" w14:textId="77777777" w:rsidR="001A025A" w:rsidRPr="00681C8B" w:rsidRDefault="001A025A" w:rsidP="001A025A">
            <w:pPr>
              <w:pStyle w:val="Corpsdetableau"/>
              <w:rPr>
                <w:rStyle w:val="RepreChamp"/>
                <w:rFonts w:asciiTheme="minorHAnsi" w:hAnsiTheme="minorHAnsi" w:cs="Arial"/>
                <w:b/>
                <w:vanish w:val="0"/>
                <w:color w:val="FFFFFF" w:themeColor="background1"/>
                <w:sz w:val="20"/>
              </w:rPr>
            </w:pPr>
            <w:r w:rsidRPr="00426226">
              <w:rPr>
                <w:rFonts w:asciiTheme="minorHAnsi" w:hAnsiTheme="minorHAnsi" w:cs="Arial"/>
                <w:sz w:val="20"/>
              </w:rPr>
              <w:t>Restreint</w:t>
            </w:r>
          </w:p>
        </w:tc>
        <w:tc>
          <w:tcPr>
            <w:tcW w:w="2693" w:type="dxa"/>
            <w:tcBorders>
              <w:top w:val="nil"/>
            </w:tcBorders>
            <w:shd w:val="clear" w:color="FFFF00" w:fill="auto"/>
          </w:tcPr>
          <w:p w14:paraId="2EE1BA71" w14:textId="77777777" w:rsidR="001A025A" w:rsidRDefault="001A025A" w:rsidP="001A025A">
            <w:pPr>
              <w:pStyle w:val="Corpsdetableau"/>
              <w:rPr>
                <w:rFonts w:asciiTheme="minorHAnsi" w:hAnsiTheme="minorHAnsi" w:cs="Arial"/>
                <w:sz w:val="20"/>
              </w:rPr>
            </w:pPr>
            <w:r>
              <w:rPr>
                <w:rFonts w:asciiTheme="minorHAnsi" w:hAnsiTheme="minorHAnsi" w:cs="Arial"/>
                <w:sz w:val="20"/>
              </w:rPr>
              <w:t>Confidentiel</w:t>
            </w:r>
          </w:p>
        </w:tc>
        <w:tc>
          <w:tcPr>
            <w:tcW w:w="2410" w:type="dxa"/>
            <w:tcBorders>
              <w:top w:val="nil"/>
            </w:tcBorders>
            <w:shd w:val="clear" w:color="FFFF00" w:fill="auto"/>
          </w:tcPr>
          <w:p w14:paraId="2EE1BA72" w14:textId="77777777" w:rsidR="001A025A" w:rsidRDefault="001A025A" w:rsidP="001A025A">
            <w:pPr>
              <w:pStyle w:val="Corpsdetableau"/>
              <w:rPr>
                <w:rFonts w:asciiTheme="minorHAnsi" w:hAnsiTheme="minorHAnsi" w:cs="Arial"/>
                <w:sz w:val="20"/>
              </w:rPr>
            </w:pPr>
            <w:r>
              <w:rPr>
                <w:rFonts w:asciiTheme="minorHAnsi" w:hAnsiTheme="minorHAnsi" w:cs="Arial"/>
                <w:sz w:val="20"/>
              </w:rPr>
              <w:t>Secret</w:t>
            </w:r>
          </w:p>
        </w:tc>
      </w:tr>
    </w:tbl>
    <w:p w14:paraId="2EE1BA74" w14:textId="77777777" w:rsidR="001A025A" w:rsidRPr="00342327" w:rsidRDefault="001A025A" w:rsidP="001A025A">
      <w:pPr>
        <w:jc w:val="both"/>
        <w:rPr>
          <w:rFonts w:cs="Arial"/>
          <w:sz w:val="20"/>
          <w:szCs w:val="20"/>
        </w:rPr>
      </w:pPr>
    </w:p>
    <w:tbl>
      <w:tblPr>
        <w:tblW w:w="102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1559"/>
        <w:gridCol w:w="2694"/>
        <w:gridCol w:w="4110"/>
      </w:tblGrid>
      <w:tr w:rsidR="001A025A" w:rsidRPr="00342327" w14:paraId="2EE1BA76" w14:textId="77777777" w:rsidTr="001A025A">
        <w:tc>
          <w:tcPr>
            <w:tcW w:w="10206"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EE1BA75" w14:textId="77777777" w:rsidR="001A025A" w:rsidRPr="00342327" w:rsidRDefault="001A025A" w:rsidP="001A025A">
            <w:pPr>
              <w:pStyle w:val="TableauTitre"/>
              <w:jc w:val="both"/>
              <w:rPr>
                <w:rFonts w:asciiTheme="minorHAnsi" w:hAnsiTheme="minorHAnsi" w:cs="Arial"/>
                <w:sz w:val="20"/>
              </w:rPr>
            </w:pPr>
            <w:r w:rsidRPr="00342327">
              <w:rPr>
                <w:rFonts w:asciiTheme="minorHAnsi" w:hAnsiTheme="minorHAnsi" w:cs="Arial"/>
                <w:sz w:val="20"/>
              </w:rPr>
              <w:t>Validité du document</w:t>
            </w:r>
          </w:p>
        </w:tc>
      </w:tr>
      <w:tr w:rsidR="001A025A" w:rsidRPr="00342327" w14:paraId="2EE1BA7B" w14:textId="77777777" w:rsidTr="001A025A">
        <w:tc>
          <w:tcPr>
            <w:tcW w:w="18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EE1BA77" w14:textId="77777777" w:rsidR="001A025A" w:rsidRPr="00342327" w:rsidRDefault="001A025A" w:rsidP="001A025A">
            <w:pPr>
              <w:pStyle w:val="TableauSoustitre"/>
              <w:jc w:val="both"/>
              <w:rPr>
                <w:rFonts w:asciiTheme="minorHAnsi" w:hAnsiTheme="minorHAnsi" w:cs="Arial"/>
                <w:sz w:val="20"/>
              </w:rPr>
            </w:pPr>
            <w:r w:rsidRPr="00342327">
              <w:rPr>
                <w:rFonts w:asciiTheme="minorHAnsi" w:hAnsiTheme="minorHAnsi" w:cs="Arial"/>
                <w:sz w:val="20"/>
              </w:rPr>
              <w:t>Action</w:t>
            </w:r>
          </w:p>
        </w:tc>
        <w:tc>
          <w:tcPr>
            <w:tcW w:w="155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EE1BA78" w14:textId="77777777" w:rsidR="001A025A" w:rsidRPr="00342327" w:rsidRDefault="001A025A" w:rsidP="001A025A">
            <w:pPr>
              <w:pStyle w:val="TableauSoustitre"/>
              <w:jc w:val="both"/>
              <w:rPr>
                <w:rFonts w:asciiTheme="minorHAnsi" w:hAnsiTheme="minorHAnsi" w:cs="Arial"/>
                <w:sz w:val="20"/>
              </w:rPr>
            </w:pPr>
            <w:r w:rsidRPr="00342327">
              <w:rPr>
                <w:rFonts w:asciiTheme="minorHAnsi" w:hAnsiTheme="minorHAnsi" w:cs="Arial"/>
                <w:sz w:val="20"/>
              </w:rPr>
              <w:t>Date</w:t>
            </w:r>
          </w:p>
        </w:tc>
        <w:tc>
          <w:tcPr>
            <w:tcW w:w="269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EE1BA79" w14:textId="77777777" w:rsidR="001A025A" w:rsidRPr="00342327" w:rsidRDefault="001A025A" w:rsidP="001A025A">
            <w:pPr>
              <w:pStyle w:val="TableauSoustitre"/>
              <w:jc w:val="both"/>
              <w:rPr>
                <w:rFonts w:asciiTheme="minorHAnsi" w:hAnsiTheme="minorHAnsi" w:cs="Arial"/>
                <w:sz w:val="20"/>
              </w:rPr>
            </w:pPr>
            <w:r w:rsidRPr="00342327">
              <w:rPr>
                <w:rFonts w:asciiTheme="minorHAnsi" w:hAnsiTheme="minorHAnsi" w:cs="Arial"/>
                <w:sz w:val="20"/>
              </w:rPr>
              <w:t>Nom</w:t>
            </w:r>
          </w:p>
        </w:tc>
        <w:tc>
          <w:tcPr>
            <w:tcW w:w="41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EE1BA7A" w14:textId="77777777" w:rsidR="001A025A" w:rsidRPr="00342327" w:rsidRDefault="001A025A" w:rsidP="001A025A">
            <w:pPr>
              <w:pStyle w:val="TableauSoustitre"/>
              <w:jc w:val="both"/>
              <w:rPr>
                <w:rFonts w:asciiTheme="minorHAnsi" w:hAnsiTheme="minorHAnsi" w:cs="Arial"/>
                <w:sz w:val="20"/>
              </w:rPr>
            </w:pPr>
            <w:r w:rsidRPr="00342327">
              <w:rPr>
                <w:rFonts w:asciiTheme="minorHAnsi" w:hAnsiTheme="minorHAnsi" w:cs="Arial"/>
                <w:sz w:val="20"/>
              </w:rPr>
              <w:t>Rôles</w:t>
            </w:r>
          </w:p>
        </w:tc>
      </w:tr>
      <w:tr w:rsidR="001A025A" w:rsidRPr="00342327" w14:paraId="2EE1BA82" w14:textId="77777777" w:rsidTr="001A025A">
        <w:tc>
          <w:tcPr>
            <w:tcW w:w="18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EE1BA7C" w14:textId="77777777" w:rsidR="001A025A" w:rsidRPr="00342327" w:rsidRDefault="001A025A" w:rsidP="001A025A">
            <w:pPr>
              <w:pStyle w:val="TableauCorps"/>
              <w:rPr>
                <w:rFonts w:asciiTheme="minorHAnsi" w:hAnsiTheme="minorHAnsi" w:cs="Arial"/>
                <w:sz w:val="20"/>
              </w:rPr>
            </w:pPr>
            <w:r w:rsidRPr="00342327">
              <w:rPr>
                <w:rFonts w:asciiTheme="minorHAnsi" w:hAnsiTheme="minorHAnsi" w:cs="Arial"/>
                <w:sz w:val="20"/>
              </w:rPr>
              <w:t>Rédaction</w:t>
            </w:r>
          </w:p>
        </w:tc>
        <w:tc>
          <w:tcPr>
            <w:tcW w:w="1559" w:type="dxa"/>
            <w:tcBorders>
              <w:top w:val="single" w:sz="6" w:space="0" w:color="auto"/>
              <w:left w:val="single" w:sz="6" w:space="0" w:color="auto"/>
              <w:bottom w:val="single" w:sz="4" w:space="0" w:color="auto"/>
              <w:right w:val="single" w:sz="4" w:space="0" w:color="auto"/>
            </w:tcBorders>
            <w:vAlign w:val="center"/>
          </w:tcPr>
          <w:p w14:paraId="2EE1BA7D" w14:textId="77777777" w:rsidR="001A025A" w:rsidRPr="00342327" w:rsidRDefault="001A025A" w:rsidP="001A025A">
            <w:pPr>
              <w:pStyle w:val="TableauCorps"/>
              <w:tabs>
                <w:tab w:val="left" w:pos="940"/>
              </w:tabs>
              <w:rPr>
                <w:rFonts w:asciiTheme="minorHAnsi" w:hAnsiTheme="minorHAnsi" w:cs="Arial"/>
                <w:sz w:val="20"/>
              </w:rPr>
            </w:pPr>
            <w:r>
              <w:rPr>
                <w:rFonts w:asciiTheme="minorHAnsi" w:hAnsiTheme="minorHAnsi" w:cs="Arial"/>
                <w:sz w:val="20"/>
              </w:rPr>
              <w:t>24/02/2021</w:t>
            </w:r>
          </w:p>
        </w:tc>
        <w:tc>
          <w:tcPr>
            <w:tcW w:w="2694" w:type="dxa"/>
            <w:tcBorders>
              <w:top w:val="single" w:sz="6" w:space="0" w:color="auto"/>
              <w:left w:val="single" w:sz="4" w:space="0" w:color="auto"/>
              <w:bottom w:val="single" w:sz="4" w:space="0" w:color="auto"/>
              <w:right w:val="single" w:sz="4" w:space="0" w:color="auto"/>
            </w:tcBorders>
            <w:vAlign w:val="center"/>
          </w:tcPr>
          <w:p w14:paraId="2EE1BA7E" w14:textId="77777777" w:rsidR="001A025A" w:rsidRDefault="001A025A" w:rsidP="001A025A">
            <w:pPr>
              <w:pStyle w:val="TableauCorps"/>
              <w:rPr>
                <w:rFonts w:asciiTheme="minorHAnsi" w:hAnsiTheme="minorHAnsi" w:cs="Arial"/>
                <w:sz w:val="20"/>
              </w:rPr>
            </w:pPr>
            <w:r>
              <w:rPr>
                <w:rFonts w:asciiTheme="minorHAnsi" w:hAnsiTheme="minorHAnsi" w:cs="Arial"/>
                <w:sz w:val="20"/>
              </w:rPr>
              <w:t>Mathieu Bourquin</w:t>
            </w:r>
          </w:p>
          <w:p w14:paraId="2EE1BA7F" w14:textId="77777777" w:rsidR="001A025A" w:rsidRPr="00342327" w:rsidRDefault="001A025A" w:rsidP="001A025A">
            <w:pPr>
              <w:pStyle w:val="TableauCorps"/>
              <w:rPr>
                <w:rFonts w:asciiTheme="minorHAnsi" w:hAnsiTheme="minorHAnsi" w:cs="Arial"/>
                <w:sz w:val="20"/>
              </w:rPr>
            </w:pPr>
            <w:r>
              <w:rPr>
                <w:rFonts w:asciiTheme="minorHAnsi" w:hAnsiTheme="minorHAnsi" w:cs="Arial"/>
                <w:sz w:val="20"/>
              </w:rPr>
              <w:t>Sylvie FELLOUS</w:t>
            </w:r>
          </w:p>
        </w:tc>
        <w:tc>
          <w:tcPr>
            <w:tcW w:w="4110" w:type="dxa"/>
            <w:tcBorders>
              <w:top w:val="single" w:sz="6" w:space="0" w:color="auto"/>
              <w:left w:val="single" w:sz="4" w:space="0" w:color="auto"/>
              <w:bottom w:val="single" w:sz="4" w:space="0" w:color="auto"/>
              <w:right w:val="single" w:sz="4" w:space="0" w:color="auto"/>
            </w:tcBorders>
            <w:vAlign w:val="center"/>
          </w:tcPr>
          <w:p w14:paraId="2EE1BA80" w14:textId="77777777" w:rsidR="001A025A" w:rsidRDefault="001A025A" w:rsidP="001A025A">
            <w:pPr>
              <w:pStyle w:val="TableauCorps"/>
              <w:rPr>
                <w:rFonts w:asciiTheme="minorHAnsi" w:hAnsiTheme="minorHAnsi" w:cs="Arial"/>
                <w:sz w:val="20"/>
              </w:rPr>
            </w:pPr>
            <w:r>
              <w:rPr>
                <w:rFonts w:asciiTheme="minorHAnsi" w:hAnsiTheme="minorHAnsi" w:cs="Arial"/>
                <w:sz w:val="20"/>
              </w:rPr>
              <w:t>Resp. Equipe Interopérabilité</w:t>
            </w:r>
          </w:p>
          <w:p w14:paraId="2EE1BA81" w14:textId="77777777" w:rsidR="001A025A" w:rsidRPr="00342327" w:rsidRDefault="001A025A" w:rsidP="001A025A">
            <w:pPr>
              <w:pStyle w:val="TableauCorps"/>
              <w:rPr>
                <w:rFonts w:asciiTheme="minorHAnsi" w:hAnsiTheme="minorHAnsi" w:cs="Arial"/>
                <w:sz w:val="20"/>
              </w:rPr>
            </w:pPr>
            <w:r>
              <w:rPr>
                <w:rFonts w:asciiTheme="minorHAnsi" w:hAnsiTheme="minorHAnsi" w:cs="Arial"/>
                <w:sz w:val="20"/>
              </w:rPr>
              <w:t>Urbanisation</w:t>
            </w:r>
          </w:p>
        </w:tc>
      </w:tr>
      <w:tr w:rsidR="001A025A" w:rsidRPr="00342327" w14:paraId="2EE1BA87" w14:textId="77777777" w:rsidTr="001A025A">
        <w:tc>
          <w:tcPr>
            <w:tcW w:w="18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EE1BA83" w14:textId="77777777" w:rsidR="001A025A" w:rsidRPr="00342327" w:rsidRDefault="001A025A" w:rsidP="001A025A">
            <w:pPr>
              <w:pStyle w:val="TableauCorps"/>
              <w:rPr>
                <w:rFonts w:asciiTheme="minorHAnsi" w:hAnsiTheme="minorHAnsi" w:cs="Arial"/>
                <w:sz w:val="20"/>
              </w:rPr>
            </w:pPr>
            <w:r w:rsidRPr="00342327">
              <w:rPr>
                <w:rFonts w:asciiTheme="minorHAnsi" w:hAnsiTheme="minorHAnsi" w:cs="Arial"/>
                <w:sz w:val="20"/>
              </w:rPr>
              <w:t>Vérification</w:t>
            </w:r>
          </w:p>
        </w:tc>
        <w:tc>
          <w:tcPr>
            <w:tcW w:w="1559" w:type="dxa"/>
            <w:tcBorders>
              <w:top w:val="single" w:sz="4" w:space="0" w:color="auto"/>
              <w:left w:val="single" w:sz="6" w:space="0" w:color="auto"/>
              <w:bottom w:val="single" w:sz="4" w:space="0" w:color="auto"/>
              <w:right w:val="single" w:sz="4" w:space="0" w:color="auto"/>
            </w:tcBorders>
            <w:vAlign w:val="center"/>
          </w:tcPr>
          <w:p w14:paraId="2EE1BA84" w14:textId="77777777" w:rsidR="001A025A" w:rsidRPr="00342327" w:rsidRDefault="001A025A" w:rsidP="001A025A">
            <w:pPr>
              <w:pStyle w:val="TableauCorps"/>
              <w:tabs>
                <w:tab w:val="left" w:pos="940"/>
              </w:tabs>
              <w:rPr>
                <w:rFonts w:asciiTheme="minorHAnsi" w:hAnsiTheme="minorHAnsi" w:cs="Arial"/>
                <w:sz w:val="20"/>
              </w:rPr>
            </w:pPr>
          </w:p>
        </w:tc>
        <w:tc>
          <w:tcPr>
            <w:tcW w:w="2694" w:type="dxa"/>
            <w:tcBorders>
              <w:top w:val="single" w:sz="4" w:space="0" w:color="auto"/>
              <w:left w:val="single" w:sz="4" w:space="0" w:color="auto"/>
              <w:bottom w:val="single" w:sz="4" w:space="0" w:color="auto"/>
              <w:right w:val="single" w:sz="4" w:space="0" w:color="auto"/>
            </w:tcBorders>
            <w:vAlign w:val="center"/>
          </w:tcPr>
          <w:p w14:paraId="2EE1BA85" w14:textId="77777777" w:rsidR="001A025A" w:rsidRPr="00342327" w:rsidRDefault="001A025A" w:rsidP="001A025A">
            <w:pPr>
              <w:pStyle w:val="TableauCorps"/>
              <w:rPr>
                <w:rFonts w:asciiTheme="minorHAnsi" w:hAnsiTheme="minorHAnsi" w:cs="Arial"/>
                <w:sz w:val="20"/>
              </w:rPr>
            </w:pPr>
            <w:r>
              <w:rPr>
                <w:rFonts w:asciiTheme="minorHAnsi" w:hAnsiTheme="minorHAnsi" w:cs="Arial"/>
                <w:sz w:val="20"/>
              </w:rPr>
              <w:t>Thierry VEAUVY</w:t>
            </w:r>
          </w:p>
        </w:tc>
        <w:tc>
          <w:tcPr>
            <w:tcW w:w="4110" w:type="dxa"/>
            <w:tcBorders>
              <w:top w:val="single" w:sz="4" w:space="0" w:color="auto"/>
              <w:left w:val="single" w:sz="4" w:space="0" w:color="auto"/>
              <w:bottom w:val="single" w:sz="4" w:space="0" w:color="auto"/>
              <w:right w:val="single" w:sz="4" w:space="0" w:color="auto"/>
            </w:tcBorders>
            <w:vAlign w:val="center"/>
          </w:tcPr>
          <w:p w14:paraId="2EE1BA86" w14:textId="77777777" w:rsidR="001A025A" w:rsidRPr="00342327" w:rsidRDefault="001A025A" w:rsidP="001A025A">
            <w:pPr>
              <w:pStyle w:val="TableauCorps"/>
              <w:rPr>
                <w:rFonts w:asciiTheme="minorHAnsi" w:hAnsiTheme="minorHAnsi" w:cs="Arial"/>
                <w:sz w:val="20"/>
              </w:rPr>
            </w:pPr>
            <w:r>
              <w:rPr>
                <w:rFonts w:asciiTheme="minorHAnsi" w:hAnsiTheme="minorHAnsi" w:cs="Arial"/>
                <w:sz w:val="20"/>
              </w:rPr>
              <w:t>RSSI</w:t>
            </w:r>
          </w:p>
        </w:tc>
      </w:tr>
      <w:tr w:rsidR="001A025A" w:rsidRPr="00B10D1D" w14:paraId="2EE1BA8C" w14:textId="77777777" w:rsidTr="001A025A">
        <w:tc>
          <w:tcPr>
            <w:tcW w:w="18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EE1BA88" w14:textId="77777777" w:rsidR="001A025A" w:rsidRPr="00342327" w:rsidRDefault="001A025A" w:rsidP="001A025A">
            <w:pPr>
              <w:pStyle w:val="TableauCorps"/>
              <w:rPr>
                <w:rFonts w:asciiTheme="minorHAnsi" w:hAnsiTheme="minorHAnsi" w:cs="Arial"/>
                <w:sz w:val="20"/>
              </w:rPr>
            </w:pPr>
            <w:r w:rsidRPr="00342327">
              <w:rPr>
                <w:rFonts w:asciiTheme="minorHAnsi" w:hAnsiTheme="minorHAnsi" w:cs="Arial"/>
                <w:sz w:val="20"/>
              </w:rPr>
              <w:t>Approbation</w:t>
            </w:r>
          </w:p>
        </w:tc>
        <w:tc>
          <w:tcPr>
            <w:tcW w:w="1559" w:type="dxa"/>
            <w:tcBorders>
              <w:top w:val="single" w:sz="4" w:space="0" w:color="auto"/>
              <w:left w:val="single" w:sz="6" w:space="0" w:color="auto"/>
              <w:bottom w:val="single" w:sz="4" w:space="0" w:color="auto"/>
              <w:right w:val="single" w:sz="4" w:space="0" w:color="auto"/>
            </w:tcBorders>
            <w:vAlign w:val="center"/>
          </w:tcPr>
          <w:p w14:paraId="2EE1BA89" w14:textId="77777777" w:rsidR="001A025A" w:rsidRPr="00342327" w:rsidRDefault="001A025A" w:rsidP="001A025A">
            <w:pPr>
              <w:pStyle w:val="TableauCorps"/>
              <w:rPr>
                <w:rFonts w:asciiTheme="minorHAnsi" w:hAnsiTheme="minorHAnsi" w:cs="Arial"/>
                <w:sz w:val="20"/>
              </w:rPr>
            </w:pPr>
          </w:p>
        </w:tc>
        <w:tc>
          <w:tcPr>
            <w:tcW w:w="2694" w:type="dxa"/>
            <w:tcBorders>
              <w:top w:val="single" w:sz="4" w:space="0" w:color="auto"/>
              <w:left w:val="single" w:sz="4" w:space="0" w:color="auto"/>
              <w:bottom w:val="single" w:sz="4" w:space="0" w:color="auto"/>
              <w:right w:val="single" w:sz="4" w:space="0" w:color="auto"/>
            </w:tcBorders>
            <w:vAlign w:val="center"/>
          </w:tcPr>
          <w:p w14:paraId="2EE1BA8A" w14:textId="77777777" w:rsidR="001A025A" w:rsidRPr="00B10D1D" w:rsidRDefault="001A025A" w:rsidP="001A025A">
            <w:pPr>
              <w:pStyle w:val="TableauCorps"/>
              <w:rPr>
                <w:rFonts w:asciiTheme="minorHAnsi" w:hAnsiTheme="minorHAnsi" w:cs="Arial"/>
                <w:sz w:val="20"/>
                <w:lang w:val="en-US"/>
              </w:rPr>
            </w:pPr>
            <w:r>
              <w:rPr>
                <w:rFonts w:asciiTheme="minorHAnsi" w:hAnsiTheme="minorHAnsi" w:cs="Arial"/>
                <w:sz w:val="20"/>
                <w:lang w:val="en-US"/>
              </w:rPr>
              <w:t>Nicolas DELAPORTE</w:t>
            </w:r>
          </w:p>
        </w:tc>
        <w:tc>
          <w:tcPr>
            <w:tcW w:w="4110" w:type="dxa"/>
            <w:tcBorders>
              <w:top w:val="single" w:sz="4" w:space="0" w:color="auto"/>
              <w:left w:val="single" w:sz="4" w:space="0" w:color="auto"/>
              <w:bottom w:val="single" w:sz="4" w:space="0" w:color="auto"/>
              <w:right w:val="single" w:sz="4" w:space="0" w:color="auto"/>
            </w:tcBorders>
            <w:vAlign w:val="center"/>
          </w:tcPr>
          <w:p w14:paraId="2EE1BA8B" w14:textId="77777777" w:rsidR="001A025A" w:rsidRPr="00B10D1D" w:rsidRDefault="001A025A" w:rsidP="001A025A">
            <w:pPr>
              <w:pStyle w:val="TableauCorps"/>
              <w:rPr>
                <w:rFonts w:asciiTheme="minorHAnsi" w:hAnsiTheme="minorHAnsi" w:cs="Arial"/>
                <w:sz w:val="20"/>
                <w:lang w:val="en-US"/>
              </w:rPr>
            </w:pPr>
            <w:r>
              <w:rPr>
                <w:rFonts w:asciiTheme="minorHAnsi" w:hAnsiTheme="minorHAnsi" w:cs="Arial"/>
                <w:sz w:val="20"/>
                <w:lang w:val="en-US"/>
              </w:rPr>
              <w:t>DSI / Autorité d’Appui</w:t>
            </w:r>
          </w:p>
        </w:tc>
      </w:tr>
    </w:tbl>
    <w:p w14:paraId="2EE1BA8D" w14:textId="77777777" w:rsidR="001A025A" w:rsidRPr="00B10D1D" w:rsidRDefault="001A025A" w:rsidP="001A025A">
      <w:pPr>
        <w:jc w:val="both"/>
        <w:rPr>
          <w:rFonts w:cs="Arial"/>
          <w:sz w:val="20"/>
          <w:szCs w:val="20"/>
          <w:lang w:val="en-US"/>
        </w:rPr>
      </w:pPr>
    </w:p>
    <w:tbl>
      <w:tblPr>
        <w:tblW w:w="102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6804"/>
      </w:tblGrid>
      <w:tr w:rsidR="001A025A" w:rsidRPr="00342327" w14:paraId="2EE1BA8F" w14:textId="77777777" w:rsidTr="001A025A">
        <w:tc>
          <w:tcPr>
            <w:tcW w:w="10206" w:type="dxa"/>
            <w:gridSpan w:val="2"/>
            <w:shd w:val="clear" w:color="auto" w:fill="D9D9D9" w:themeFill="background1" w:themeFillShade="D9"/>
            <w:vAlign w:val="center"/>
          </w:tcPr>
          <w:p w14:paraId="2EE1BA8E" w14:textId="77777777" w:rsidR="001A025A" w:rsidRPr="00342327" w:rsidRDefault="001A025A" w:rsidP="001A025A">
            <w:pPr>
              <w:pStyle w:val="TableauTitre"/>
              <w:jc w:val="both"/>
              <w:rPr>
                <w:rFonts w:asciiTheme="minorHAnsi" w:hAnsiTheme="minorHAnsi" w:cs="Arial"/>
                <w:sz w:val="20"/>
              </w:rPr>
            </w:pPr>
            <w:r w:rsidRPr="00342327">
              <w:rPr>
                <w:rFonts w:asciiTheme="minorHAnsi" w:hAnsiTheme="minorHAnsi" w:cs="Arial"/>
                <w:sz w:val="20"/>
              </w:rPr>
              <w:t>Diffusion</w:t>
            </w:r>
          </w:p>
        </w:tc>
      </w:tr>
      <w:tr w:rsidR="001A025A" w:rsidRPr="00342327" w14:paraId="2EE1BA92" w14:textId="77777777" w:rsidTr="001A025A">
        <w:trPr>
          <w:cantSplit/>
        </w:trPr>
        <w:tc>
          <w:tcPr>
            <w:tcW w:w="3402" w:type="dxa"/>
            <w:shd w:val="clear" w:color="auto" w:fill="D9D9D9" w:themeFill="background1" w:themeFillShade="D9"/>
            <w:vAlign w:val="center"/>
          </w:tcPr>
          <w:p w14:paraId="2EE1BA90" w14:textId="77777777" w:rsidR="001A025A" w:rsidRPr="00342327" w:rsidRDefault="001A025A" w:rsidP="001A025A">
            <w:pPr>
              <w:pStyle w:val="TableauSoustitre"/>
              <w:jc w:val="both"/>
              <w:rPr>
                <w:rFonts w:asciiTheme="minorHAnsi" w:hAnsiTheme="minorHAnsi" w:cs="Arial"/>
                <w:sz w:val="20"/>
              </w:rPr>
            </w:pPr>
            <w:r w:rsidRPr="00342327">
              <w:rPr>
                <w:rFonts w:asciiTheme="minorHAnsi" w:hAnsiTheme="minorHAnsi" w:cs="Arial"/>
                <w:sz w:val="20"/>
              </w:rPr>
              <w:t>Nom</w:t>
            </w:r>
          </w:p>
        </w:tc>
        <w:tc>
          <w:tcPr>
            <w:tcW w:w="6804" w:type="dxa"/>
            <w:shd w:val="clear" w:color="auto" w:fill="D9D9D9" w:themeFill="background1" w:themeFillShade="D9"/>
            <w:vAlign w:val="center"/>
          </w:tcPr>
          <w:p w14:paraId="2EE1BA91" w14:textId="77777777" w:rsidR="001A025A" w:rsidRPr="00342327" w:rsidRDefault="001A025A" w:rsidP="001A025A">
            <w:pPr>
              <w:pStyle w:val="TableauSoustitre"/>
              <w:jc w:val="both"/>
              <w:rPr>
                <w:rFonts w:asciiTheme="minorHAnsi" w:hAnsiTheme="minorHAnsi" w:cs="Arial"/>
                <w:sz w:val="20"/>
              </w:rPr>
            </w:pPr>
            <w:r w:rsidRPr="00342327">
              <w:rPr>
                <w:rFonts w:asciiTheme="minorHAnsi" w:hAnsiTheme="minorHAnsi" w:cs="Arial"/>
                <w:sz w:val="20"/>
              </w:rPr>
              <w:t>Rôles</w:t>
            </w:r>
          </w:p>
        </w:tc>
      </w:tr>
      <w:tr w:rsidR="001A025A" w:rsidRPr="00342327" w14:paraId="2EE1BA95" w14:textId="77777777" w:rsidTr="001A025A">
        <w:trPr>
          <w:trHeight w:val="191"/>
        </w:trPr>
        <w:tc>
          <w:tcPr>
            <w:tcW w:w="3402" w:type="dxa"/>
            <w:vAlign w:val="center"/>
          </w:tcPr>
          <w:p w14:paraId="2EE1BA93" w14:textId="77777777" w:rsidR="001A025A" w:rsidRPr="00342327" w:rsidRDefault="001A025A" w:rsidP="001A025A">
            <w:pPr>
              <w:pStyle w:val="Corpsdetableau"/>
              <w:rPr>
                <w:rFonts w:asciiTheme="minorHAnsi" w:hAnsiTheme="minorHAnsi" w:cs="Arial"/>
                <w:sz w:val="20"/>
              </w:rPr>
            </w:pPr>
            <w:r>
              <w:rPr>
                <w:rFonts w:asciiTheme="minorHAnsi" w:hAnsiTheme="minorHAnsi" w:cs="Arial"/>
                <w:sz w:val="20"/>
              </w:rPr>
              <w:t>RSSI</w:t>
            </w:r>
          </w:p>
        </w:tc>
        <w:tc>
          <w:tcPr>
            <w:tcW w:w="6804" w:type="dxa"/>
            <w:vAlign w:val="center"/>
          </w:tcPr>
          <w:p w14:paraId="2EE1BA94" w14:textId="77777777" w:rsidR="001A025A" w:rsidRPr="00342327" w:rsidRDefault="001A025A" w:rsidP="001A025A">
            <w:pPr>
              <w:pStyle w:val="TableauCorps"/>
              <w:rPr>
                <w:rFonts w:asciiTheme="minorHAnsi" w:hAnsiTheme="minorHAnsi" w:cs="Arial"/>
                <w:sz w:val="20"/>
              </w:rPr>
            </w:pPr>
            <w:r>
              <w:rPr>
                <w:rFonts w:asciiTheme="minorHAnsi" w:hAnsiTheme="minorHAnsi" w:cs="Arial"/>
                <w:sz w:val="20"/>
              </w:rPr>
              <w:t>Modification</w:t>
            </w:r>
          </w:p>
        </w:tc>
      </w:tr>
      <w:tr w:rsidR="001A025A" w:rsidRPr="00342327" w14:paraId="2EE1BA98" w14:textId="77777777" w:rsidTr="001A025A">
        <w:trPr>
          <w:trHeight w:val="191"/>
        </w:trPr>
        <w:tc>
          <w:tcPr>
            <w:tcW w:w="3402" w:type="dxa"/>
            <w:vAlign w:val="center"/>
          </w:tcPr>
          <w:p w14:paraId="2EE1BA96" w14:textId="136E7F83" w:rsidR="001A025A" w:rsidRDefault="008D795A" w:rsidP="001A025A">
            <w:pPr>
              <w:pStyle w:val="Corpsdetableau"/>
              <w:rPr>
                <w:rFonts w:asciiTheme="minorHAnsi" w:hAnsiTheme="minorHAnsi" w:cs="Arial"/>
                <w:sz w:val="20"/>
              </w:rPr>
            </w:pPr>
            <w:r>
              <w:rPr>
                <w:rFonts w:asciiTheme="minorHAnsi" w:hAnsiTheme="minorHAnsi" w:cs="Arial"/>
                <w:sz w:val="20"/>
              </w:rPr>
              <w:t>DSN</w:t>
            </w:r>
          </w:p>
        </w:tc>
        <w:tc>
          <w:tcPr>
            <w:tcW w:w="6804" w:type="dxa"/>
            <w:vAlign w:val="center"/>
          </w:tcPr>
          <w:p w14:paraId="2EE1BA97" w14:textId="77777777" w:rsidR="001A025A" w:rsidRDefault="001A025A" w:rsidP="001A025A">
            <w:pPr>
              <w:pStyle w:val="TableauCorps"/>
              <w:rPr>
                <w:rFonts w:asciiTheme="minorHAnsi" w:hAnsiTheme="minorHAnsi" w:cs="Arial"/>
                <w:sz w:val="20"/>
              </w:rPr>
            </w:pPr>
            <w:r>
              <w:rPr>
                <w:rFonts w:asciiTheme="minorHAnsi" w:hAnsiTheme="minorHAnsi" w:cs="Arial"/>
                <w:sz w:val="20"/>
              </w:rPr>
              <w:t>Lecture</w:t>
            </w:r>
          </w:p>
        </w:tc>
      </w:tr>
      <w:tr w:rsidR="001A025A" w:rsidRPr="00342327" w14:paraId="2EE1BA9B" w14:textId="77777777" w:rsidTr="001A025A">
        <w:trPr>
          <w:trHeight w:val="191"/>
        </w:trPr>
        <w:tc>
          <w:tcPr>
            <w:tcW w:w="3402" w:type="dxa"/>
            <w:vAlign w:val="center"/>
          </w:tcPr>
          <w:p w14:paraId="2EE1BA99" w14:textId="77777777" w:rsidR="001A025A" w:rsidRDefault="001A025A" w:rsidP="001A025A">
            <w:pPr>
              <w:pStyle w:val="Corpsdetableau"/>
              <w:rPr>
                <w:rFonts w:asciiTheme="minorHAnsi" w:hAnsiTheme="minorHAnsi" w:cs="Arial"/>
                <w:sz w:val="20"/>
              </w:rPr>
            </w:pPr>
            <w:r>
              <w:rPr>
                <w:rFonts w:asciiTheme="minorHAnsi" w:hAnsiTheme="minorHAnsi" w:cs="Arial"/>
                <w:sz w:val="20"/>
              </w:rPr>
              <w:t>MOA métier CHU</w:t>
            </w:r>
          </w:p>
        </w:tc>
        <w:tc>
          <w:tcPr>
            <w:tcW w:w="6804" w:type="dxa"/>
            <w:vAlign w:val="center"/>
          </w:tcPr>
          <w:p w14:paraId="2EE1BA9A" w14:textId="77777777" w:rsidR="001A025A" w:rsidRDefault="001A025A" w:rsidP="001A025A">
            <w:pPr>
              <w:pStyle w:val="TableauCorps"/>
              <w:rPr>
                <w:rFonts w:asciiTheme="minorHAnsi" w:hAnsiTheme="minorHAnsi" w:cs="Arial"/>
                <w:sz w:val="20"/>
              </w:rPr>
            </w:pPr>
            <w:r>
              <w:rPr>
                <w:rFonts w:asciiTheme="minorHAnsi" w:hAnsiTheme="minorHAnsi" w:cs="Arial"/>
                <w:sz w:val="20"/>
              </w:rPr>
              <w:t>Lecture</w:t>
            </w:r>
          </w:p>
        </w:tc>
      </w:tr>
    </w:tbl>
    <w:p w14:paraId="2EE1BA9C" w14:textId="77777777" w:rsidR="001A025A" w:rsidRPr="00342327" w:rsidRDefault="001A025A" w:rsidP="001A025A">
      <w:pPr>
        <w:jc w:val="both"/>
        <w:rPr>
          <w:rFonts w:cs="Arial"/>
          <w:sz w:val="20"/>
          <w:szCs w:val="20"/>
        </w:rPr>
      </w:pPr>
    </w:p>
    <w:tbl>
      <w:tblPr>
        <w:tblW w:w="102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8363"/>
      </w:tblGrid>
      <w:tr w:rsidR="001A025A" w:rsidRPr="00342327" w14:paraId="2EE1BA9E" w14:textId="77777777" w:rsidTr="001A025A">
        <w:tc>
          <w:tcPr>
            <w:tcW w:w="10206" w:type="dxa"/>
            <w:gridSpan w:val="2"/>
            <w:shd w:val="clear" w:color="auto" w:fill="D9D9D9" w:themeFill="background1" w:themeFillShade="D9"/>
            <w:vAlign w:val="center"/>
          </w:tcPr>
          <w:p w14:paraId="2EE1BA9D" w14:textId="77777777" w:rsidR="001A025A" w:rsidRPr="00342327" w:rsidRDefault="001A025A" w:rsidP="001A025A">
            <w:pPr>
              <w:pStyle w:val="TableauTitre"/>
              <w:jc w:val="both"/>
              <w:rPr>
                <w:rFonts w:asciiTheme="minorHAnsi" w:hAnsiTheme="minorHAnsi" w:cs="Arial"/>
                <w:sz w:val="20"/>
              </w:rPr>
            </w:pPr>
            <w:r w:rsidRPr="00342327">
              <w:rPr>
                <w:rFonts w:asciiTheme="minorHAnsi" w:hAnsiTheme="minorHAnsi" w:cs="Arial"/>
                <w:sz w:val="20"/>
              </w:rPr>
              <w:t>Historiques</w:t>
            </w:r>
          </w:p>
        </w:tc>
      </w:tr>
      <w:tr w:rsidR="001A025A" w:rsidRPr="00342327" w14:paraId="2EE1BAA1" w14:textId="77777777" w:rsidTr="001A025A">
        <w:trPr>
          <w:cantSplit/>
        </w:trPr>
        <w:tc>
          <w:tcPr>
            <w:tcW w:w="1843" w:type="dxa"/>
            <w:shd w:val="clear" w:color="auto" w:fill="D9D9D9" w:themeFill="background1" w:themeFillShade="D9"/>
            <w:vAlign w:val="center"/>
          </w:tcPr>
          <w:p w14:paraId="2EE1BA9F" w14:textId="77777777" w:rsidR="001A025A" w:rsidRPr="00342327" w:rsidRDefault="001A025A" w:rsidP="001A025A">
            <w:pPr>
              <w:pStyle w:val="TableauSoustitre"/>
              <w:jc w:val="both"/>
              <w:rPr>
                <w:rFonts w:asciiTheme="minorHAnsi" w:hAnsiTheme="minorHAnsi" w:cs="Arial"/>
                <w:sz w:val="20"/>
              </w:rPr>
            </w:pPr>
            <w:r w:rsidRPr="00342327">
              <w:rPr>
                <w:rFonts w:asciiTheme="minorHAnsi" w:hAnsiTheme="minorHAnsi" w:cs="Arial"/>
                <w:sz w:val="20"/>
              </w:rPr>
              <w:t>Versions</w:t>
            </w:r>
          </w:p>
        </w:tc>
        <w:tc>
          <w:tcPr>
            <w:tcW w:w="8363" w:type="dxa"/>
            <w:shd w:val="clear" w:color="auto" w:fill="D9D9D9" w:themeFill="background1" w:themeFillShade="D9"/>
            <w:vAlign w:val="center"/>
          </w:tcPr>
          <w:p w14:paraId="2EE1BAA0" w14:textId="77777777" w:rsidR="001A025A" w:rsidRPr="00342327" w:rsidRDefault="001A025A" w:rsidP="001A025A">
            <w:pPr>
              <w:pStyle w:val="TableauSoustitre"/>
              <w:jc w:val="both"/>
              <w:rPr>
                <w:rFonts w:asciiTheme="minorHAnsi" w:hAnsiTheme="minorHAnsi" w:cs="Arial"/>
                <w:sz w:val="20"/>
              </w:rPr>
            </w:pPr>
            <w:r w:rsidRPr="00342327">
              <w:rPr>
                <w:rFonts w:asciiTheme="minorHAnsi" w:hAnsiTheme="minorHAnsi" w:cs="Arial"/>
                <w:sz w:val="20"/>
              </w:rPr>
              <w:t>Intervention</w:t>
            </w:r>
          </w:p>
        </w:tc>
      </w:tr>
      <w:tr w:rsidR="001A025A" w:rsidRPr="00342327" w14:paraId="2EE1BAA4" w14:textId="77777777" w:rsidTr="001A025A">
        <w:trPr>
          <w:cantSplit/>
          <w:trHeight w:val="291"/>
        </w:trPr>
        <w:tc>
          <w:tcPr>
            <w:tcW w:w="1843" w:type="dxa"/>
            <w:vAlign w:val="center"/>
          </w:tcPr>
          <w:p w14:paraId="2EE1BAA2" w14:textId="77777777" w:rsidR="001A025A" w:rsidRPr="00342327" w:rsidRDefault="001A025A" w:rsidP="001A025A">
            <w:pPr>
              <w:pStyle w:val="TableauCorps"/>
              <w:rPr>
                <w:rFonts w:asciiTheme="minorHAnsi" w:hAnsiTheme="minorHAnsi" w:cs="Arial"/>
                <w:sz w:val="20"/>
              </w:rPr>
            </w:pPr>
            <w:r w:rsidRPr="00342327">
              <w:rPr>
                <w:rFonts w:asciiTheme="minorHAnsi" w:hAnsiTheme="minorHAnsi" w:cs="Arial"/>
                <w:sz w:val="20"/>
              </w:rPr>
              <w:t>1.0</w:t>
            </w:r>
          </w:p>
        </w:tc>
        <w:tc>
          <w:tcPr>
            <w:tcW w:w="8363" w:type="dxa"/>
            <w:vAlign w:val="center"/>
          </w:tcPr>
          <w:p w14:paraId="2EE1BAA3" w14:textId="77777777" w:rsidR="001A025A" w:rsidRPr="00342327" w:rsidRDefault="001A025A" w:rsidP="001A025A">
            <w:pPr>
              <w:pStyle w:val="TableauCorps"/>
              <w:rPr>
                <w:rFonts w:asciiTheme="minorHAnsi" w:hAnsiTheme="minorHAnsi" w:cs="Arial"/>
                <w:sz w:val="20"/>
              </w:rPr>
            </w:pPr>
            <w:r w:rsidRPr="00342327">
              <w:rPr>
                <w:rFonts w:asciiTheme="minorHAnsi" w:hAnsiTheme="minorHAnsi" w:cs="Arial"/>
                <w:sz w:val="20"/>
              </w:rPr>
              <w:t>Création du document</w:t>
            </w:r>
          </w:p>
        </w:tc>
      </w:tr>
      <w:tr w:rsidR="001A025A" w:rsidRPr="00342327" w14:paraId="2EE1BAA7" w14:textId="77777777" w:rsidTr="001A025A">
        <w:trPr>
          <w:cantSplit/>
          <w:trHeight w:val="291"/>
        </w:trPr>
        <w:tc>
          <w:tcPr>
            <w:tcW w:w="1843" w:type="dxa"/>
            <w:vAlign w:val="center"/>
          </w:tcPr>
          <w:p w14:paraId="2EE1BAA5" w14:textId="77777777" w:rsidR="001A025A" w:rsidRPr="00342327" w:rsidRDefault="001A025A" w:rsidP="001A025A">
            <w:pPr>
              <w:pStyle w:val="TableauCorps"/>
              <w:rPr>
                <w:rFonts w:asciiTheme="minorHAnsi" w:hAnsiTheme="minorHAnsi" w:cs="Arial"/>
                <w:sz w:val="20"/>
              </w:rPr>
            </w:pPr>
            <w:r>
              <w:rPr>
                <w:rFonts w:asciiTheme="minorHAnsi" w:hAnsiTheme="minorHAnsi" w:cs="Arial"/>
                <w:sz w:val="20"/>
              </w:rPr>
              <w:t>1.1</w:t>
            </w:r>
          </w:p>
        </w:tc>
        <w:tc>
          <w:tcPr>
            <w:tcW w:w="8363" w:type="dxa"/>
            <w:vAlign w:val="center"/>
          </w:tcPr>
          <w:p w14:paraId="2EE1BAA6" w14:textId="77777777" w:rsidR="001A025A" w:rsidRPr="00342327" w:rsidRDefault="001A025A" w:rsidP="001A025A">
            <w:pPr>
              <w:pStyle w:val="TableauCorps"/>
              <w:rPr>
                <w:rFonts w:asciiTheme="minorHAnsi" w:hAnsiTheme="minorHAnsi" w:cs="Arial"/>
                <w:sz w:val="20"/>
              </w:rPr>
            </w:pPr>
            <w:r>
              <w:rPr>
                <w:rFonts w:asciiTheme="minorHAnsi" w:hAnsiTheme="minorHAnsi" w:cs="Arial"/>
                <w:sz w:val="20"/>
              </w:rPr>
              <w:t xml:space="preserve">03/06/2021 : prise en compte du cadre d’interopérabilité national et aussi celui de la région </w:t>
            </w:r>
          </w:p>
        </w:tc>
      </w:tr>
    </w:tbl>
    <w:p w14:paraId="2EE1BAA8" w14:textId="77777777" w:rsidR="001E36FE" w:rsidRDefault="001E36FE" w:rsidP="001A025A">
      <w:pPr>
        <w:jc w:val="both"/>
        <w:rPr>
          <w:rFonts w:ascii="Trebuchet MS" w:hAnsi="Trebuchet MS" w:cs="Arial"/>
        </w:rPr>
      </w:pPr>
    </w:p>
    <w:p w14:paraId="2EE1BAA9" w14:textId="77777777" w:rsidR="001E36FE" w:rsidRDefault="001E36FE">
      <w:pPr>
        <w:rPr>
          <w:rFonts w:ascii="Trebuchet MS" w:hAnsi="Trebuchet MS" w:cs="Arial"/>
        </w:rPr>
      </w:pPr>
      <w:r>
        <w:rPr>
          <w:rFonts w:ascii="Trebuchet MS" w:hAnsi="Trebuchet MS" w:cs="Arial"/>
        </w:rPr>
        <w:br w:type="page"/>
      </w:r>
    </w:p>
    <w:sdt>
      <w:sdtPr>
        <w:rPr>
          <w:rFonts w:asciiTheme="minorHAnsi" w:eastAsiaTheme="minorHAnsi" w:hAnsiTheme="minorHAnsi" w:cstheme="minorBidi"/>
          <w:color w:val="auto"/>
          <w:sz w:val="22"/>
          <w:szCs w:val="22"/>
          <w:lang w:eastAsia="en-US"/>
        </w:rPr>
        <w:id w:val="800648292"/>
        <w:docPartObj>
          <w:docPartGallery w:val="Table of Contents"/>
          <w:docPartUnique/>
        </w:docPartObj>
      </w:sdtPr>
      <w:sdtEndPr>
        <w:rPr>
          <w:b/>
          <w:bCs/>
        </w:rPr>
      </w:sdtEndPr>
      <w:sdtContent>
        <w:p w14:paraId="2EE1BAAA" w14:textId="77777777" w:rsidR="002A79A5" w:rsidRDefault="002A79A5">
          <w:pPr>
            <w:pStyle w:val="En-ttedetabledesmatires"/>
          </w:pPr>
          <w:r>
            <w:t>Table des matières</w:t>
          </w:r>
        </w:p>
        <w:p w14:paraId="2EE1BAAB" w14:textId="77777777" w:rsidR="002A79A5" w:rsidRDefault="002A79A5">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73625230" w:history="1">
            <w:r w:rsidRPr="002B27E8">
              <w:rPr>
                <w:rStyle w:val="Lienhypertexte"/>
                <w:noProof/>
              </w:rPr>
              <w:t>1.</w:t>
            </w:r>
            <w:r>
              <w:rPr>
                <w:rFonts w:eastAsiaTheme="minorEastAsia"/>
                <w:noProof/>
                <w:lang w:eastAsia="fr-FR"/>
              </w:rPr>
              <w:tab/>
            </w:r>
            <w:r w:rsidRPr="002B27E8">
              <w:rPr>
                <w:rStyle w:val="Lienhypertexte"/>
                <w:noProof/>
              </w:rPr>
              <w:t>Objet du document</w:t>
            </w:r>
            <w:r>
              <w:rPr>
                <w:noProof/>
                <w:webHidden/>
              </w:rPr>
              <w:tab/>
            </w:r>
            <w:r>
              <w:rPr>
                <w:noProof/>
                <w:webHidden/>
              </w:rPr>
              <w:fldChar w:fldCharType="begin"/>
            </w:r>
            <w:r>
              <w:rPr>
                <w:noProof/>
                <w:webHidden/>
              </w:rPr>
              <w:instrText xml:space="preserve"> PAGEREF _Toc73625230 \h </w:instrText>
            </w:r>
            <w:r>
              <w:rPr>
                <w:noProof/>
                <w:webHidden/>
              </w:rPr>
            </w:r>
            <w:r>
              <w:rPr>
                <w:noProof/>
                <w:webHidden/>
              </w:rPr>
              <w:fldChar w:fldCharType="separate"/>
            </w:r>
            <w:r>
              <w:rPr>
                <w:noProof/>
                <w:webHidden/>
              </w:rPr>
              <w:t>4</w:t>
            </w:r>
            <w:r>
              <w:rPr>
                <w:noProof/>
                <w:webHidden/>
              </w:rPr>
              <w:fldChar w:fldCharType="end"/>
            </w:r>
          </w:hyperlink>
        </w:p>
        <w:p w14:paraId="2EE1BAAC" w14:textId="77777777" w:rsidR="002A79A5" w:rsidRDefault="009C0C53">
          <w:pPr>
            <w:pStyle w:val="TM1"/>
            <w:tabs>
              <w:tab w:val="left" w:pos="440"/>
              <w:tab w:val="right" w:leader="dot" w:pos="9062"/>
            </w:tabs>
            <w:rPr>
              <w:rFonts w:eastAsiaTheme="minorEastAsia"/>
              <w:noProof/>
              <w:lang w:eastAsia="fr-FR"/>
            </w:rPr>
          </w:pPr>
          <w:hyperlink w:anchor="_Toc73625231" w:history="1">
            <w:r w:rsidR="002A79A5" w:rsidRPr="002B27E8">
              <w:rPr>
                <w:rStyle w:val="Lienhypertexte"/>
                <w:noProof/>
              </w:rPr>
              <w:t>2.</w:t>
            </w:r>
            <w:r w:rsidR="002A79A5">
              <w:rPr>
                <w:rFonts w:eastAsiaTheme="minorEastAsia"/>
                <w:noProof/>
                <w:lang w:eastAsia="fr-FR"/>
              </w:rPr>
              <w:tab/>
            </w:r>
            <w:r w:rsidR="002A79A5" w:rsidRPr="002B27E8">
              <w:rPr>
                <w:rStyle w:val="Lienhypertexte"/>
                <w:noProof/>
              </w:rPr>
              <w:t>Principes d’échanges et Interfaces</w:t>
            </w:r>
            <w:r w:rsidR="002A79A5">
              <w:rPr>
                <w:noProof/>
                <w:webHidden/>
              </w:rPr>
              <w:tab/>
            </w:r>
            <w:r w:rsidR="002A79A5">
              <w:rPr>
                <w:noProof/>
                <w:webHidden/>
              </w:rPr>
              <w:fldChar w:fldCharType="begin"/>
            </w:r>
            <w:r w:rsidR="002A79A5">
              <w:rPr>
                <w:noProof/>
                <w:webHidden/>
              </w:rPr>
              <w:instrText xml:space="preserve"> PAGEREF _Toc73625231 \h </w:instrText>
            </w:r>
            <w:r w:rsidR="002A79A5">
              <w:rPr>
                <w:noProof/>
                <w:webHidden/>
              </w:rPr>
            </w:r>
            <w:r w:rsidR="002A79A5">
              <w:rPr>
                <w:noProof/>
                <w:webHidden/>
              </w:rPr>
              <w:fldChar w:fldCharType="separate"/>
            </w:r>
            <w:r w:rsidR="002A79A5">
              <w:rPr>
                <w:noProof/>
                <w:webHidden/>
              </w:rPr>
              <w:t>4</w:t>
            </w:r>
            <w:r w:rsidR="002A79A5">
              <w:rPr>
                <w:noProof/>
                <w:webHidden/>
              </w:rPr>
              <w:fldChar w:fldCharType="end"/>
            </w:r>
          </w:hyperlink>
        </w:p>
        <w:p w14:paraId="2EE1BAAD" w14:textId="77777777" w:rsidR="002A79A5" w:rsidRDefault="009C0C53">
          <w:pPr>
            <w:pStyle w:val="TM2"/>
            <w:tabs>
              <w:tab w:val="left" w:pos="880"/>
              <w:tab w:val="right" w:leader="dot" w:pos="9062"/>
            </w:tabs>
            <w:rPr>
              <w:rFonts w:eastAsiaTheme="minorEastAsia"/>
              <w:noProof/>
              <w:lang w:eastAsia="fr-FR"/>
            </w:rPr>
          </w:pPr>
          <w:hyperlink w:anchor="_Toc73625234" w:history="1">
            <w:r w:rsidR="002A79A5" w:rsidRPr="002B27E8">
              <w:rPr>
                <w:rStyle w:val="Lienhypertexte"/>
                <w:noProof/>
              </w:rPr>
              <w:t>2.1.</w:t>
            </w:r>
            <w:r w:rsidR="002A79A5">
              <w:rPr>
                <w:rFonts w:eastAsiaTheme="minorEastAsia"/>
                <w:noProof/>
                <w:lang w:eastAsia="fr-FR"/>
              </w:rPr>
              <w:tab/>
            </w:r>
            <w:r w:rsidR="002A79A5" w:rsidRPr="002B27E8">
              <w:rPr>
                <w:rStyle w:val="Lienhypertexte"/>
                <w:noProof/>
              </w:rPr>
              <w:t>Intégration fonctionnelle</w:t>
            </w:r>
            <w:r w:rsidR="002A79A5">
              <w:rPr>
                <w:noProof/>
                <w:webHidden/>
              </w:rPr>
              <w:tab/>
            </w:r>
            <w:r w:rsidR="002A79A5">
              <w:rPr>
                <w:noProof/>
                <w:webHidden/>
              </w:rPr>
              <w:fldChar w:fldCharType="begin"/>
            </w:r>
            <w:r w:rsidR="002A79A5">
              <w:rPr>
                <w:noProof/>
                <w:webHidden/>
              </w:rPr>
              <w:instrText xml:space="preserve"> PAGEREF _Toc73625234 \h </w:instrText>
            </w:r>
            <w:r w:rsidR="002A79A5">
              <w:rPr>
                <w:noProof/>
                <w:webHidden/>
              </w:rPr>
            </w:r>
            <w:r w:rsidR="002A79A5">
              <w:rPr>
                <w:noProof/>
                <w:webHidden/>
              </w:rPr>
              <w:fldChar w:fldCharType="separate"/>
            </w:r>
            <w:r w:rsidR="002A79A5">
              <w:rPr>
                <w:noProof/>
                <w:webHidden/>
              </w:rPr>
              <w:t>5</w:t>
            </w:r>
            <w:r w:rsidR="002A79A5">
              <w:rPr>
                <w:noProof/>
                <w:webHidden/>
              </w:rPr>
              <w:fldChar w:fldCharType="end"/>
            </w:r>
          </w:hyperlink>
        </w:p>
        <w:p w14:paraId="2EE1BAAE" w14:textId="77777777" w:rsidR="002A79A5" w:rsidRDefault="009C0C53">
          <w:pPr>
            <w:pStyle w:val="TM3"/>
            <w:tabs>
              <w:tab w:val="left" w:pos="1320"/>
              <w:tab w:val="right" w:leader="dot" w:pos="9062"/>
            </w:tabs>
            <w:rPr>
              <w:rFonts w:eastAsiaTheme="minorEastAsia"/>
              <w:noProof/>
              <w:lang w:eastAsia="fr-FR"/>
            </w:rPr>
          </w:pPr>
          <w:hyperlink w:anchor="_Toc73625235" w:history="1">
            <w:r w:rsidR="002A79A5" w:rsidRPr="002B27E8">
              <w:rPr>
                <w:rStyle w:val="Lienhypertexte"/>
                <w:noProof/>
              </w:rPr>
              <w:t>2.1.1.</w:t>
            </w:r>
            <w:r w:rsidR="002A79A5">
              <w:rPr>
                <w:rFonts w:eastAsiaTheme="minorEastAsia"/>
                <w:noProof/>
                <w:lang w:eastAsia="fr-FR"/>
              </w:rPr>
              <w:tab/>
            </w:r>
            <w:r w:rsidR="002A79A5" w:rsidRPr="002B27E8">
              <w:rPr>
                <w:rStyle w:val="Lienhypertexte"/>
                <w:noProof/>
              </w:rPr>
              <w:t>Respect du cadre interopérabilité National</w:t>
            </w:r>
            <w:r w:rsidR="002A79A5">
              <w:rPr>
                <w:noProof/>
                <w:webHidden/>
              </w:rPr>
              <w:tab/>
            </w:r>
            <w:r w:rsidR="002A79A5">
              <w:rPr>
                <w:noProof/>
                <w:webHidden/>
              </w:rPr>
              <w:fldChar w:fldCharType="begin"/>
            </w:r>
            <w:r w:rsidR="002A79A5">
              <w:rPr>
                <w:noProof/>
                <w:webHidden/>
              </w:rPr>
              <w:instrText xml:space="preserve"> PAGEREF _Toc73625235 \h </w:instrText>
            </w:r>
            <w:r w:rsidR="002A79A5">
              <w:rPr>
                <w:noProof/>
                <w:webHidden/>
              </w:rPr>
            </w:r>
            <w:r w:rsidR="002A79A5">
              <w:rPr>
                <w:noProof/>
                <w:webHidden/>
              </w:rPr>
              <w:fldChar w:fldCharType="separate"/>
            </w:r>
            <w:r w:rsidR="002A79A5">
              <w:rPr>
                <w:noProof/>
                <w:webHidden/>
              </w:rPr>
              <w:t>5</w:t>
            </w:r>
            <w:r w:rsidR="002A79A5">
              <w:rPr>
                <w:noProof/>
                <w:webHidden/>
              </w:rPr>
              <w:fldChar w:fldCharType="end"/>
            </w:r>
          </w:hyperlink>
        </w:p>
        <w:p w14:paraId="2EE1BAAF" w14:textId="77777777" w:rsidR="002A79A5" w:rsidRDefault="009C0C53">
          <w:pPr>
            <w:pStyle w:val="TM3"/>
            <w:tabs>
              <w:tab w:val="left" w:pos="1320"/>
              <w:tab w:val="right" w:leader="dot" w:pos="9062"/>
            </w:tabs>
            <w:rPr>
              <w:rFonts w:eastAsiaTheme="minorEastAsia"/>
              <w:noProof/>
              <w:lang w:eastAsia="fr-FR"/>
            </w:rPr>
          </w:pPr>
          <w:hyperlink w:anchor="_Toc73625236" w:history="1">
            <w:r w:rsidR="002A79A5" w:rsidRPr="002B27E8">
              <w:rPr>
                <w:rStyle w:val="Lienhypertexte"/>
                <w:noProof/>
              </w:rPr>
              <w:t>2.1.2.</w:t>
            </w:r>
            <w:r w:rsidR="002A79A5">
              <w:rPr>
                <w:rFonts w:eastAsiaTheme="minorEastAsia"/>
                <w:noProof/>
                <w:lang w:eastAsia="fr-FR"/>
              </w:rPr>
              <w:tab/>
            </w:r>
            <w:r w:rsidR="002A79A5" w:rsidRPr="002B27E8">
              <w:rPr>
                <w:rStyle w:val="Lienhypertexte"/>
                <w:noProof/>
              </w:rPr>
              <w:t>Respect du cadre interopérabilité Régional</w:t>
            </w:r>
            <w:r w:rsidR="002A79A5">
              <w:rPr>
                <w:noProof/>
                <w:webHidden/>
              </w:rPr>
              <w:tab/>
            </w:r>
            <w:r w:rsidR="002A79A5">
              <w:rPr>
                <w:noProof/>
                <w:webHidden/>
              </w:rPr>
              <w:fldChar w:fldCharType="begin"/>
            </w:r>
            <w:r w:rsidR="002A79A5">
              <w:rPr>
                <w:noProof/>
                <w:webHidden/>
              </w:rPr>
              <w:instrText xml:space="preserve"> PAGEREF _Toc73625236 \h </w:instrText>
            </w:r>
            <w:r w:rsidR="002A79A5">
              <w:rPr>
                <w:noProof/>
                <w:webHidden/>
              </w:rPr>
            </w:r>
            <w:r w:rsidR="002A79A5">
              <w:rPr>
                <w:noProof/>
                <w:webHidden/>
              </w:rPr>
              <w:fldChar w:fldCharType="separate"/>
            </w:r>
            <w:r w:rsidR="002A79A5">
              <w:rPr>
                <w:noProof/>
                <w:webHidden/>
              </w:rPr>
              <w:t>5</w:t>
            </w:r>
            <w:r w:rsidR="002A79A5">
              <w:rPr>
                <w:noProof/>
                <w:webHidden/>
              </w:rPr>
              <w:fldChar w:fldCharType="end"/>
            </w:r>
          </w:hyperlink>
        </w:p>
        <w:p w14:paraId="2EE1BAB0" w14:textId="77777777" w:rsidR="002A79A5" w:rsidRDefault="009C0C53">
          <w:pPr>
            <w:pStyle w:val="TM3"/>
            <w:tabs>
              <w:tab w:val="left" w:pos="1320"/>
              <w:tab w:val="right" w:leader="dot" w:pos="9062"/>
            </w:tabs>
            <w:rPr>
              <w:rFonts w:eastAsiaTheme="minorEastAsia"/>
              <w:noProof/>
              <w:lang w:eastAsia="fr-FR"/>
            </w:rPr>
          </w:pPr>
          <w:hyperlink w:anchor="_Toc73625237" w:history="1">
            <w:r w:rsidR="002A79A5" w:rsidRPr="002B27E8">
              <w:rPr>
                <w:rStyle w:val="Lienhypertexte"/>
                <w:noProof/>
              </w:rPr>
              <w:t>2.1.3.</w:t>
            </w:r>
            <w:r w:rsidR="002A79A5">
              <w:rPr>
                <w:rFonts w:eastAsiaTheme="minorEastAsia"/>
                <w:noProof/>
                <w:lang w:eastAsia="fr-FR"/>
              </w:rPr>
              <w:tab/>
            </w:r>
            <w:r w:rsidR="002A79A5" w:rsidRPr="002B27E8">
              <w:rPr>
                <w:rStyle w:val="Lienhypertexte"/>
                <w:noProof/>
              </w:rPr>
              <w:t>Respect du cadre interopérabilité du Chu de Toulouse</w:t>
            </w:r>
            <w:r w:rsidR="002A79A5">
              <w:rPr>
                <w:noProof/>
                <w:webHidden/>
              </w:rPr>
              <w:tab/>
            </w:r>
            <w:r w:rsidR="002A79A5">
              <w:rPr>
                <w:noProof/>
                <w:webHidden/>
              </w:rPr>
              <w:fldChar w:fldCharType="begin"/>
            </w:r>
            <w:r w:rsidR="002A79A5">
              <w:rPr>
                <w:noProof/>
                <w:webHidden/>
              </w:rPr>
              <w:instrText xml:space="preserve"> PAGEREF _Toc73625237 \h </w:instrText>
            </w:r>
            <w:r w:rsidR="002A79A5">
              <w:rPr>
                <w:noProof/>
                <w:webHidden/>
              </w:rPr>
            </w:r>
            <w:r w:rsidR="002A79A5">
              <w:rPr>
                <w:noProof/>
                <w:webHidden/>
              </w:rPr>
              <w:fldChar w:fldCharType="separate"/>
            </w:r>
            <w:r w:rsidR="002A79A5">
              <w:rPr>
                <w:noProof/>
                <w:webHidden/>
              </w:rPr>
              <w:t>5</w:t>
            </w:r>
            <w:r w:rsidR="002A79A5">
              <w:rPr>
                <w:noProof/>
                <w:webHidden/>
              </w:rPr>
              <w:fldChar w:fldCharType="end"/>
            </w:r>
          </w:hyperlink>
        </w:p>
        <w:p w14:paraId="2EE1BAB1" w14:textId="77777777" w:rsidR="002A79A5" w:rsidRDefault="009C0C53">
          <w:pPr>
            <w:pStyle w:val="TM2"/>
            <w:tabs>
              <w:tab w:val="left" w:pos="880"/>
              <w:tab w:val="right" w:leader="dot" w:pos="9062"/>
            </w:tabs>
            <w:rPr>
              <w:rFonts w:eastAsiaTheme="minorEastAsia"/>
              <w:noProof/>
              <w:lang w:eastAsia="fr-FR"/>
            </w:rPr>
          </w:pPr>
          <w:hyperlink w:anchor="_Toc73625238" w:history="1">
            <w:r w:rsidR="002A79A5" w:rsidRPr="002B27E8">
              <w:rPr>
                <w:rStyle w:val="Lienhypertexte"/>
                <w:noProof/>
              </w:rPr>
              <w:t>2.2.</w:t>
            </w:r>
            <w:r w:rsidR="002A79A5">
              <w:rPr>
                <w:rFonts w:eastAsiaTheme="minorEastAsia"/>
                <w:noProof/>
                <w:lang w:eastAsia="fr-FR"/>
              </w:rPr>
              <w:tab/>
            </w:r>
            <w:r w:rsidR="002A79A5" w:rsidRPr="002B27E8">
              <w:rPr>
                <w:rStyle w:val="Lienhypertexte"/>
                <w:noProof/>
              </w:rPr>
              <w:t>Interface métier</w:t>
            </w:r>
            <w:r w:rsidR="002A79A5">
              <w:rPr>
                <w:noProof/>
                <w:webHidden/>
              </w:rPr>
              <w:tab/>
            </w:r>
            <w:r w:rsidR="002A79A5">
              <w:rPr>
                <w:noProof/>
                <w:webHidden/>
              </w:rPr>
              <w:fldChar w:fldCharType="begin"/>
            </w:r>
            <w:r w:rsidR="002A79A5">
              <w:rPr>
                <w:noProof/>
                <w:webHidden/>
              </w:rPr>
              <w:instrText xml:space="preserve"> PAGEREF _Toc73625238 \h </w:instrText>
            </w:r>
            <w:r w:rsidR="002A79A5">
              <w:rPr>
                <w:noProof/>
                <w:webHidden/>
              </w:rPr>
            </w:r>
            <w:r w:rsidR="002A79A5">
              <w:rPr>
                <w:noProof/>
                <w:webHidden/>
              </w:rPr>
              <w:fldChar w:fldCharType="separate"/>
            </w:r>
            <w:r w:rsidR="002A79A5">
              <w:rPr>
                <w:noProof/>
                <w:webHidden/>
              </w:rPr>
              <w:t>6</w:t>
            </w:r>
            <w:r w:rsidR="002A79A5">
              <w:rPr>
                <w:noProof/>
                <w:webHidden/>
              </w:rPr>
              <w:fldChar w:fldCharType="end"/>
            </w:r>
          </w:hyperlink>
        </w:p>
        <w:p w14:paraId="2EE1BAB2" w14:textId="77777777" w:rsidR="002A79A5" w:rsidRDefault="009C0C53">
          <w:pPr>
            <w:pStyle w:val="TM2"/>
            <w:tabs>
              <w:tab w:val="left" w:pos="880"/>
              <w:tab w:val="right" w:leader="dot" w:pos="9062"/>
            </w:tabs>
            <w:rPr>
              <w:rFonts w:eastAsiaTheme="minorEastAsia"/>
              <w:noProof/>
              <w:lang w:eastAsia="fr-FR"/>
            </w:rPr>
          </w:pPr>
          <w:hyperlink w:anchor="_Toc73625239" w:history="1">
            <w:r w:rsidR="002A79A5" w:rsidRPr="002B27E8">
              <w:rPr>
                <w:rStyle w:val="Lienhypertexte"/>
                <w:noProof/>
              </w:rPr>
              <w:t>2.3.</w:t>
            </w:r>
            <w:r w:rsidR="002A79A5">
              <w:rPr>
                <w:rFonts w:eastAsiaTheme="minorEastAsia"/>
                <w:noProof/>
                <w:lang w:eastAsia="fr-FR"/>
              </w:rPr>
              <w:tab/>
            </w:r>
            <w:r w:rsidR="002A79A5" w:rsidRPr="002B27E8">
              <w:rPr>
                <w:rStyle w:val="Lienhypertexte"/>
                <w:noProof/>
              </w:rPr>
              <w:t>Sécurisation des échanges</w:t>
            </w:r>
            <w:r w:rsidR="002A79A5">
              <w:rPr>
                <w:noProof/>
                <w:webHidden/>
              </w:rPr>
              <w:tab/>
            </w:r>
            <w:r w:rsidR="002A79A5">
              <w:rPr>
                <w:noProof/>
                <w:webHidden/>
              </w:rPr>
              <w:fldChar w:fldCharType="begin"/>
            </w:r>
            <w:r w:rsidR="002A79A5">
              <w:rPr>
                <w:noProof/>
                <w:webHidden/>
              </w:rPr>
              <w:instrText xml:space="preserve"> PAGEREF _Toc73625239 \h </w:instrText>
            </w:r>
            <w:r w:rsidR="002A79A5">
              <w:rPr>
                <w:noProof/>
                <w:webHidden/>
              </w:rPr>
            </w:r>
            <w:r w:rsidR="002A79A5">
              <w:rPr>
                <w:noProof/>
                <w:webHidden/>
              </w:rPr>
              <w:fldChar w:fldCharType="separate"/>
            </w:r>
            <w:r w:rsidR="002A79A5">
              <w:rPr>
                <w:noProof/>
                <w:webHidden/>
              </w:rPr>
              <w:t>6</w:t>
            </w:r>
            <w:r w:rsidR="002A79A5">
              <w:rPr>
                <w:noProof/>
                <w:webHidden/>
              </w:rPr>
              <w:fldChar w:fldCharType="end"/>
            </w:r>
          </w:hyperlink>
        </w:p>
        <w:p w14:paraId="2EE1BAB3" w14:textId="77777777" w:rsidR="002A79A5" w:rsidRDefault="009C0C53">
          <w:pPr>
            <w:pStyle w:val="TM1"/>
            <w:tabs>
              <w:tab w:val="left" w:pos="440"/>
              <w:tab w:val="right" w:leader="dot" w:pos="9062"/>
            </w:tabs>
            <w:rPr>
              <w:rFonts w:eastAsiaTheme="minorEastAsia"/>
              <w:noProof/>
              <w:lang w:eastAsia="fr-FR"/>
            </w:rPr>
          </w:pPr>
          <w:hyperlink w:anchor="_Toc73625240" w:history="1">
            <w:r w:rsidR="002A79A5" w:rsidRPr="002B27E8">
              <w:rPr>
                <w:rStyle w:val="Lienhypertexte"/>
                <w:noProof/>
              </w:rPr>
              <w:t>3.</w:t>
            </w:r>
            <w:r w:rsidR="002A79A5">
              <w:rPr>
                <w:rFonts w:eastAsiaTheme="minorEastAsia"/>
                <w:noProof/>
                <w:lang w:eastAsia="fr-FR"/>
              </w:rPr>
              <w:tab/>
            </w:r>
            <w:r w:rsidR="002A79A5" w:rsidRPr="002B27E8">
              <w:rPr>
                <w:rStyle w:val="Lienhypertexte"/>
                <w:noProof/>
              </w:rPr>
              <w:t>Définition des périmètres</w:t>
            </w:r>
            <w:r w:rsidR="002A79A5">
              <w:rPr>
                <w:noProof/>
                <w:webHidden/>
              </w:rPr>
              <w:tab/>
            </w:r>
            <w:r w:rsidR="002A79A5">
              <w:rPr>
                <w:noProof/>
                <w:webHidden/>
              </w:rPr>
              <w:fldChar w:fldCharType="begin"/>
            </w:r>
            <w:r w:rsidR="002A79A5">
              <w:rPr>
                <w:noProof/>
                <w:webHidden/>
              </w:rPr>
              <w:instrText xml:space="preserve"> PAGEREF _Toc73625240 \h </w:instrText>
            </w:r>
            <w:r w:rsidR="002A79A5">
              <w:rPr>
                <w:noProof/>
                <w:webHidden/>
              </w:rPr>
            </w:r>
            <w:r w:rsidR="002A79A5">
              <w:rPr>
                <w:noProof/>
                <w:webHidden/>
              </w:rPr>
              <w:fldChar w:fldCharType="separate"/>
            </w:r>
            <w:r w:rsidR="002A79A5">
              <w:rPr>
                <w:noProof/>
                <w:webHidden/>
              </w:rPr>
              <w:t>7</w:t>
            </w:r>
            <w:r w:rsidR="002A79A5">
              <w:rPr>
                <w:noProof/>
                <w:webHidden/>
              </w:rPr>
              <w:fldChar w:fldCharType="end"/>
            </w:r>
          </w:hyperlink>
        </w:p>
        <w:p w14:paraId="2EE1BAB4" w14:textId="77777777" w:rsidR="002A79A5" w:rsidRDefault="009C0C53">
          <w:pPr>
            <w:pStyle w:val="TM1"/>
            <w:tabs>
              <w:tab w:val="left" w:pos="440"/>
              <w:tab w:val="right" w:leader="dot" w:pos="9062"/>
            </w:tabs>
            <w:rPr>
              <w:rFonts w:eastAsiaTheme="minorEastAsia"/>
              <w:noProof/>
              <w:lang w:eastAsia="fr-FR"/>
            </w:rPr>
          </w:pPr>
          <w:hyperlink w:anchor="_Toc73625241" w:history="1">
            <w:r w:rsidR="002A79A5" w:rsidRPr="002B27E8">
              <w:rPr>
                <w:rStyle w:val="Lienhypertexte"/>
                <w:noProof/>
              </w:rPr>
              <w:t>4.</w:t>
            </w:r>
            <w:r w:rsidR="002A79A5">
              <w:rPr>
                <w:rFonts w:eastAsiaTheme="minorEastAsia"/>
                <w:noProof/>
                <w:lang w:eastAsia="fr-FR"/>
              </w:rPr>
              <w:tab/>
            </w:r>
            <w:r w:rsidR="002A79A5" w:rsidRPr="002B27E8">
              <w:rPr>
                <w:rStyle w:val="Lienhypertexte"/>
                <w:noProof/>
              </w:rPr>
              <w:t>Politique de chiffrement de la donnée (hors chiffrement tunnel)</w:t>
            </w:r>
            <w:r w:rsidR="002A79A5">
              <w:rPr>
                <w:noProof/>
                <w:webHidden/>
              </w:rPr>
              <w:tab/>
            </w:r>
            <w:r w:rsidR="002A79A5">
              <w:rPr>
                <w:noProof/>
                <w:webHidden/>
              </w:rPr>
              <w:fldChar w:fldCharType="begin"/>
            </w:r>
            <w:r w:rsidR="002A79A5">
              <w:rPr>
                <w:noProof/>
                <w:webHidden/>
              </w:rPr>
              <w:instrText xml:space="preserve"> PAGEREF _Toc73625241 \h </w:instrText>
            </w:r>
            <w:r w:rsidR="002A79A5">
              <w:rPr>
                <w:noProof/>
                <w:webHidden/>
              </w:rPr>
            </w:r>
            <w:r w:rsidR="002A79A5">
              <w:rPr>
                <w:noProof/>
                <w:webHidden/>
              </w:rPr>
              <w:fldChar w:fldCharType="separate"/>
            </w:r>
            <w:r w:rsidR="002A79A5">
              <w:rPr>
                <w:noProof/>
                <w:webHidden/>
              </w:rPr>
              <w:t>7</w:t>
            </w:r>
            <w:r w:rsidR="002A79A5">
              <w:rPr>
                <w:noProof/>
                <w:webHidden/>
              </w:rPr>
              <w:fldChar w:fldCharType="end"/>
            </w:r>
          </w:hyperlink>
        </w:p>
        <w:p w14:paraId="2EE1BAB5" w14:textId="77777777" w:rsidR="002A79A5" w:rsidRDefault="002A79A5">
          <w:r>
            <w:rPr>
              <w:b/>
              <w:bCs/>
            </w:rPr>
            <w:fldChar w:fldCharType="end"/>
          </w:r>
        </w:p>
      </w:sdtContent>
    </w:sdt>
    <w:p w14:paraId="2EE1BAB6" w14:textId="77777777" w:rsidR="00815B14" w:rsidRDefault="00815B14">
      <w:pPr>
        <w:rPr>
          <w:rFonts w:asciiTheme="majorHAnsi" w:eastAsiaTheme="majorEastAsia" w:hAnsiTheme="majorHAnsi" w:cstheme="majorBidi"/>
          <w:color w:val="2F5496" w:themeColor="accent1" w:themeShade="BF"/>
          <w:sz w:val="32"/>
          <w:szCs w:val="32"/>
        </w:rPr>
      </w:pPr>
      <w:r>
        <w:br w:type="page"/>
      </w:r>
    </w:p>
    <w:p w14:paraId="2EE1BAB7" w14:textId="77777777" w:rsidR="001A025A" w:rsidRDefault="001A025A" w:rsidP="00815B14">
      <w:pPr>
        <w:pStyle w:val="Titre1"/>
      </w:pPr>
      <w:bookmarkStart w:id="0" w:name="_Toc73625230"/>
      <w:r>
        <w:lastRenderedPageBreak/>
        <w:t>Objet du document</w:t>
      </w:r>
      <w:bookmarkEnd w:id="0"/>
    </w:p>
    <w:p w14:paraId="2EE1BAB8" w14:textId="77777777" w:rsidR="001A025A" w:rsidRDefault="001A025A" w:rsidP="001A025A">
      <w:pPr>
        <w:jc w:val="both"/>
      </w:pPr>
      <w:r>
        <w:t>Ce document a pour objectif de préciser les pratiques de l’EAI (intégration d’applications d’entreprise).</w:t>
      </w:r>
    </w:p>
    <w:p w14:paraId="2EE1BAB9" w14:textId="77777777" w:rsidR="001A025A" w:rsidRDefault="001A025A" w:rsidP="001A025A">
      <w:pPr>
        <w:jc w:val="both"/>
      </w:pPr>
      <w:r>
        <w:t>L’EAI désigne une architecture SI qui permet à plusieurs logiciels de communiquer entre eux et de gérer les différents échanges. On parle aussi de gestion des flux inter-applicatifs. Un logiciel EAI permet de se connecter à tout type de sources de données, d’en extraire des données, de manipuler ces données, de structurer ces données puis de les déposer dans toutes autres structures de données.</w:t>
      </w:r>
    </w:p>
    <w:p w14:paraId="2EE1BABA" w14:textId="77777777" w:rsidR="001A025A" w:rsidRDefault="001A025A" w:rsidP="001A025A">
      <w:pPr>
        <w:jc w:val="both"/>
      </w:pPr>
      <w:r>
        <w:t xml:space="preserve">L’interopérabilité est le garant de l’échange et du partage d’informations entre deux systèmes n’ayant pas forcément la même finalité. Elle permet leur traitement de manière efficiente et pertinente. Le contraire de l’interopérabilité est le système fermé ou propriétaire qui ne permet aucun échange fluide sans travaux de transcodage préalable. L’interopérabilité se divise en : </w:t>
      </w:r>
    </w:p>
    <w:p w14:paraId="2EE1BABB" w14:textId="77777777" w:rsidR="001A025A" w:rsidRDefault="001A025A" w:rsidP="001A025A">
      <w:pPr>
        <w:pStyle w:val="Paragraphedeliste"/>
        <w:numPr>
          <w:ilvl w:val="0"/>
          <w:numId w:val="1"/>
        </w:numPr>
        <w:jc w:val="both"/>
      </w:pPr>
      <w:r>
        <w:t xml:space="preserve">Interopérabilité « technique » c’est-à-dire l’interconnexion entre deux systèmes, s’appuyant sur l’utilisation d’interfaces définies, de normes et de protocoles partagés dans le respect des exigences de sécurité et de confidentialité des données personnelles de santé. </w:t>
      </w:r>
    </w:p>
    <w:p w14:paraId="2EE1BABC" w14:textId="77777777" w:rsidR="00815B14" w:rsidRDefault="00815B14" w:rsidP="00815B14">
      <w:pPr>
        <w:pStyle w:val="Paragraphedeliste"/>
        <w:jc w:val="both"/>
      </w:pPr>
    </w:p>
    <w:p w14:paraId="2EE1BABD" w14:textId="77777777" w:rsidR="001A025A" w:rsidRDefault="001A025A" w:rsidP="001A025A">
      <w:pPr>
        <w:pStyle w:val="Paragraphedeliste"/>
        <w:numPr>
          <w:ilvl w:val="0"/>
          <w:numId w:val="1"/>
        </w:numPr>
        <w:jc w:val="both"/>
      </w:pPr>
      <w:r>
        <w:t xml:space="preserve">Interopérabilité « sémantique » est basée sur des référentiels d’interopérabilité, permettant à deux systèmes d’utiliser un langage commun (mots et syntaxe) pour produire et exploiter les données de santé échangées. C’est sur ces bases sémantique et syntaxique que les industriels développent des services à valeur ajoutée en retravaillant les données (courbes d’évolution temporelle, aide à la décision, traitement automatique du langage naturel, intelligence artificielle par exemple). </w:t>
      </w:r>
    </w:p>
    <w:p w14:paraId="2EE1BABE" w14:textId="77777777" w:rsidR="001A025A" w:rsidRDefault="001A025A" w:rsidP="00815B14">
      <w:pPr>
        <w:pStyle w:val="Titre1"/>
      </w:pPr>
      <w:bookmarkStart w:id="1" w:name="_Toc73625231"/>
      <w:r>
        <w:t>Principes d’échanges et Interfaces</w:t>
      </w:r>
      <w:bookmarkEnd w:id="1"/>
    </w:p>
    <w:p w14:paraId="2EE1BABF" w14:textId="77777777" w:rsidR="001A025A" w:rsidRDefault="001A025A" w:rsidP="001A025A">
      <w:pPr>
        <w:jc w:val="both"/>
      </w:pPr>
      <w:r>
        <w:t>Les échanges entre applications doivent être surveillés de façon centralisée, automatique et graphique.</w:t>
      </w:r>
    </w:p>
    <w:p w14:paraId="2EE1BAC0" w14:textId="59838F40" w:rsidR="001A025A" w:rsidRDefault="001A025A" w:rsidP="001A025A">
      <w:pPr>
        <w:jc w:val="both"/>
      </w:pPr>
      <w:r>
        <w:t xml:space="preserve">La </w:t>
      </w:r>
      <w:r w:rsidR="008D795A">
        <w:t>DSN</w:t>
      </w:r>
      <w:r>
        <w:t xml:space="preserve"> dispose pour cela d’un outil d’EAI permettant de :</w:t>
      </w:r>
    </w:p>
    <w:p w14:paraId="2EE1BAC1" w14:textId="77777777" w:rsidR="001A025A" w:rsidRDefault="001A025A" w:rsidP="001A025A">
      <w:pPr>
        <w:pStyle w:val="Paragraphedeliste"/>
        <w:numPr>
          <w:ilvl w:val="0"/>
          <w:numId w:val="1"/>
        </w:numPr>
        <w:jc w:val="both"/>
      </w:pPr>
      <w:r>
        <w:t>Gérer les échanges de fichiers ou messages de façon sécurisée</w:t>
      </w:r>
    </w:p>
    <w:p w14:paraId="2EE1BAC2" w14:textId="77777777" w:rsidR="001A025A" w:rsidRDefault="001A025A" w:rsidP="001A025A">
      <w:pPr>
        <w:pStyle w:val="Paragraphedeliste"/>
        <w:numPr>
          <w:ilvl w:val="0"/>
          <w:numId w:val="1"/>
        </w:numPr>
        <w:jc w:val="both"/>
      </w:pPr>
      <w:r>
        <w:t>D’utiliser les normes d’échanges du monde la santé et/ou de l’informatique (HL7, HPRIM, H’XML)</w:t>
      </w:r>
    </w:p>
    <w:p w14:paraId="2EE1BAC3" w14:textId="77777777" w:rsidR="001A025A" w:rsidRDefault="001A025A" w:rsidP="001A025A">
      <w:pPr>
        <w:pStyle w:val="Paragraphedeliste"/>
        <w:numPr>
          <w:ilvl w:val="0"/>
          <w:numId w:val="1"/>
        </w:numPr>
        <w:jc w:val="both"/>
      </w:pPr>
      <w:r>
        <w:t>De centraliser la supervision des flux avec un IHM graphique</w:t>
      </w:r>
    </w:p>
    <w:p w14:paraId="2EE1BAC4" w14:textId="77777777" w:rsidR="001A025A" w:rsidRDefault="001A025A" w:rsidP="001A025A">
      <w:pPr>
        <w:jc w:val="both"/>
      </w:pPr>
      <w:r>
        <w:t>Exemple : Schéma sur le bus de données EAI pour le flux Identité et mouvements des patients du SIH</w:t>
      </w:r>
    </w:p>
    <w:p w14:paraId="2EE1BAC5" w14:textId="77777777" w:rsidR="001E36FE" w:rsidRDefault="001E36FE" w:rsidP="00815B14">
      <w:pPr>
        <w:jc w:val="center"/>
      </w:pPr>
      <w:r>
        <w:rPr>
          <w:noProof/>
        </w:rPr>
        <w:drawing>
          <wp:inline distT="0" distB="0" distL="0" distR="0" wp14:anchorId="2EE1BB1F" wp14:editId="2EE1BB20">
            <wp:extent cx="3825875" cy="2445879"/>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58628" cy="2466818"/>
                    </a:xfrm>
                    <a:prstGeom prst="rect">
                      <a:avLst/>
                    </a:prstGeom>
                    <a:noFill/>
                    <a:ln>
                      <a:noFill/>
                    </a:ln>
                  </pic:spPr>
                </pic:pic>
              </a:graphicData>
            </a:graphic>
          </wp:inline>
        </w:drawing>
      </w:r>
    </w:p>
    <w:p w14:paraId="2EE1BAC6" w14:textId="77777777" w:rsidR="001E36FE" w:rsidRPr="001E36FE" w:rsidRDefault="001E36FE" w:rsidP="001E36FE">
      <w:pPr>
        <w:pStyle w:val="Paragraphedeliste"/>
        <w:keepNext/>
        <w:keepLines/>
        <w:numPr>
          <w:ilvl w:val="0"/>
          <w:numId w:val="15"/>
        </w:numPr>
        <w:spacing w:before="40" w:after="0"/>
        <w:contextualSpacing w:val="0"/>
        <w:outlineLvl w:val="1"/>
        <w:rPr>
          <w:rFonts w:asciiTheme="majorHAnsi" w:eastAsiaTheme="majorEastAsia" w:hAnsiTheme="majorHAnsi" w:cstheme="majorBidi"/>
          <w:vanish/>
          <w:color w:val="2F5496" w:themeColor="accent1" w:themeShade="BF"/>
          <w:sz w:val="26"/>
          <w:szCs w:val="26"/>
        </w:rPr>
      </w:pPr>
      <w:bookmarkStart w:id="2" w:name="_Toc73624853"/>
      <w:bookmarkStart w:id="3" w:name="_Toc73624986"/>
      <w:bookmarkStart w:id="4" w:name="_Toc73625232"/>
      <w:bookmarkEnd w:id="2"/>
      <w:bookmarkEnd w:id="3"/>
      <w:bookmarkEnd w:id="4"/>
    </w:p>
    <w:p w14:paraId="2EE1BAC7" w14:textId="77777777" w:rsidR="001E36FE" w:rsidRPr="001E36FE" w:rsidRDefault="001E36FE" w:rsidP="001E36FE">
      <w:pPr>
        <w:pStyle w:val="Paragraphedeliste"/>
        <w:keepNext/>
        <w:keepLines/>
        <w:numPr>
          <w:ilvl w:val="0"/>
          <w:numId w:val="15"/>
        </w:numPr>
        <w:spacing w:before="40" w:after="0"/>
        <w:contextualSpacing w:val="0"/>
        <w:outlineLvl w:val="1"/>
        <w:rPr>
          <w:rFonts w:asciiTheme="majorHAnsi" w:eastAsiaTheme="majorEastAsia" w:hAnsiTheme="majorHAnsi" w:cstheme="majorBidi"/>
          <w:vanish/>
          <w:color w:val="2F5496" w:themeColor="accent1" w:themeShade="BF"/>
          <w:sz w:val="26"/>
          <w:szCs w:val="26"/>
        </w:rPr>
      </w:pPr>
      <w:bookmarkStart w:id="5" w:name="_Toc73624854"/>
      <w:bookmarkStart w:id="6" w:name="_Toc73624987"/>
      <w:bookmarkStart w:id="7" w:name="_Toc73625233"/>
      <w:bookmarkEnd w:id="5"/>
      <w:bookmarkEnd w:id="6"/>
      <w:bookmarkEnd w:id="7"/>
    </w:p>
    <w:p w14:paraId="2EE1BAC8" w14:textId="77777777" w:rsidR="001A025A" w:rsidRDefault="001A025A" w:rsidP="001E36FE">
      <w:pPr>
        <w:pStyle w:val="Titre2"/>
        <w:numPr>
          <w:ilvl w:val="1"/>
          <w:numId w:val="15"/>
        </w:numPr>
      </w:pPr>
      <w:bookmarkStart w:id="8" w:name="_Toc73625234"/>
      <w:r w:rsidRPr="001A025A">
        <w:t>Intégration fonctionnelle</w:t>
      </w:r>
      <w:bookmarkEnd w:id="8"/>
    </w:p>
    <w:p w14:paraId="2EE1BAC9" w14:textId="77777777" w:rsidR="001A025A" w:rsidRPr="001A025A" w:rsidRDefault="001A025A" w:rsidP="001A025A">
      <w:pPr>
        <w:pStyle w:val="Titre3"/>
        <w:numPr>
          <w:ilvl w:val="2"/>
          <w:numId w:val="15"/>
        </w:numPr>
      </w:pPr>
      <w:bookmarkStart w:id="9" w:name="_Toc73625235"/>
      <w:r w:rsidRPr="001A025A">
        <w:t>Respect du cadre interopérabilité National</w:t>
      </w:r>
      <w:bookmarkEnd w:id="9"/>
    </w:p>
    <w:p w14:paraId="2EE1BACA" w14:textId="77777777" w:rsidR="00815B14" w:rsidRDefault="001A025A" w:rsidP="005B6A12">
      <w:pPr>
        <w:jc w:val="both"/>
      </w:pPr>
      <w:r>
        <w:t>Pour intensifier le partage et l’échange des données de santé entre solutions, l’Etat confie à l’ANS la responsabilité de l’élaboration et de la publication des référentiels d’interopérabilité lisibles</w:t>
      </w:r>
      <w:r w:rsidR="005B6A12">
        <w:t>.</w:t>
      </w:r>
    </w:p>
    <w:p w14:paraId="2EE1BACB" w14:textId="77777777" w:rsidR="001A025A" w:rsidRDefault="001A025A" w:rsidP="001A025A">
      <w:pPr>
        <w:jc w:val="both"/>
      </w:pPr>
      <w:r>
        <w:t>Le cadre d’interopérabilité national est accessible à l’adresse suivante :</w:t>
      </w:r>
      <w:r w:rsidR="00B97A6F">
        <w:t xml:space="preserve"> </w:t>
      </w:r>
    </w:p>
    <w:p w14:paraId="2EE1BACC" w14:textId="77777777" w:rsidR="001A025A" w:rsidRDefault="009C0C53" w:rsidP="00B97A6F">
      <w:pPr>
        <w:jc w:val="center"/>
      </w:pPr>
      <w:hyperlink r:id="rId11" w:history="1">
        <w:r w:rsidR="001A025A" w:rsidRPr="000F5055">
          <w:rPr>
            <w:rStyle w:val="Lienhypertexte"/>
          </w:rPr>
          <w:t>https://esante.gouv.fr/interoperabilite/ci-sis/espace-publication</w:t>
        </w:r>
      </w:hyperlink>
    </w:p>
    <w:p w14:paraId="2EE1BACD" w14:textId="77777777" w:rsidR="00651276" w:rsidRDefault="00651276" w:rsidP="001A025A">
      <w:pPr>
        <w:jc w:val="both"/>
      </w:pPr>
      <w:r>
        <w:t xml:space="preserve">Si les échanges sont </w:t>
      </w:r>
      <w:r w:rsidR="00914A31">
        <w:t>décrits</w:t>
      </w:r>
      <w:r>
        <w:t xml:space="preserve"> dans le cadre d’interopérabilité national, alors l’intégration dans notre SIH se fera dans le respect de ce dernier.</w:t>
      </w:r>
    </w:p>
    <w:p w14:paraId="2EE1BACE" w14:textId="77777777" w:rsidR="00651276" w:rsidRDefault="00914A31" w:rsidP="001A025A">
      <w:pPr>
        <w:jc w:val="both"/>
        <w:rPr>
          <w:b/>
        </w:rPr>
      </w:pPr>
      <w:r w:rsidRPr="00914A31">
        <w:rPr>
          <w:b/>
        </w:rPr>
        <w:t>L</w:t>
      </w:r>
      <w:r w:rsidR="00651276" w:rsidRPr="00914A31">
        <w:rPr>
          <w:b/>
        </w:rPr>
        <w:t>e cadre d’interopérabilité national</w:t>
      </w:r>
      <w:r w:rsidRPr="00914A31">
        <w:rPr>
          <w:b/>
        </w:rPr>
        <w:t xml:space="preserve"> domine tous les autres cadres d’interopérabilité.</w:t>
      </w:r>
    </w:p>
    <w:p w14:paraId="2EE1BACF" w14:textId="77777777" w:rsidR="00914A31" w:rsidRPr="00914A31" w:rsidRDefault="00914A31" w:rsidP="001A025A">
      <w:pPr>
        <w:jc w:val="both"/>
        <w:rPr>
          <w:b/>
        </w:rPr>
      </w:pPr>
    </w:p>
    <w:p w14:paraId="2EE1BAD0" w14:textId="77777777" w:rsidR="001A025A" w:rsidRPr="001E36FE" w:rsidRDefault="001A025A" w:rsidP="001E36FE">
      <w:pPr>
        <w:pStyle w:val="Titre3"/>
        <w:numPr>
          <w:ilvl w:val="2"/>
          <w:numId w:val="15"/>
        </w:numPr>
      </w:pPr>
      <w:bookmarkStart w:id="10" w:name="_Toc73625236"/>
      <w:r w:rsidRPr="001E36FE">
        <w:t>Respect du cadre interopérabilité Régional</w:t>
      </w:r>
      <w:bookmarkEnd w:id="10"/>
    </w:p>
    <w:p w14:paraId="2EE1BAD1" w14:textId="77777777" w:rsidR="001A025A" w:rsidRDefault="001A025A" w:rsidP="001A025A">
      <w:pPr>
        <w:jc w:val="both"/>
      </w:pPr>
      <w:r>
        <w:t xml:space="preserve">Le Groupement e-santé Occitanie a compilé, dans un « guide d’interopérabilité e-santé Occitanie », les méthodes d’intégration des services portés par le Groupement e-santé Occitanie, tout en s’appuyant </w:t>
      </w:r>
      <w:r w:rsidR="001E36FE">
        <w:t>s</w:t>
      </w:r>
      <w:r>
        <w:t xml:space="preserve">ur les documents existants, comme le CI-SIS, les standards internationaux, les DSFT fournis par les éditeurs des solutions, ou tout autre document existant. </w:t>
      </w:r>
    </w:p>
    <w:p w14:paraId="2EE1BAD2" w14:textId="77777777" w:rsidR="001A025A" w:rsidRDefault="001A025A" w:rsidP="001A025A">
      <w:pPr>
        <w:jc w:val="both"/>
      </w:pPr>
      <w:r>
        <w:t>Ce guide d’interopérabilité se compose pour chaque service de 3 éléments :</w:t>
      </w:r>
    </w:p>
    <w:p w14:paraId="2EE1BAD3" w14:textId="77777777" w:rsidR="001A025A" w:rsidRDefault="001A025A" w:rsidP="001A025A">
      <w:pPr>
        <w:pStyle w:val="Paragraphedeliste"/>
        <w:numPr>
          <w:ilvl w:val="0"/>
          <w:numId w:val="3"/>
        </w:numPr>
        <w:jc w:val="both"/>
      </w:pPr>
      <w:r>
        <w:t>Une fiche service (description du service, contacts, références clients, …)</w:t>
      </w:r>
    </w:p>
    <w:p w14:paraId="2EE1BAD4" w14:textId="77777777" w:rsidR="001A025A" w:rsidRDefault="001A025A" w:rsidP="001A025A">
      <w:pPr>
        <w:pStyle w:val="Paragraphedeliste"/>
        <w:numPr>
          <w:ilvl w:val="0"/>
          <w:numId w:val="3"/>
        </w:numPr>
        <w:jc w:val="both"/>
      </w:pPr>
      <w:r>
        <w:t>Un tableau d’interopérabilité technique et sémantique (schéma et descriptif des flux)</w:t>
      </w:r>
    </w:p>
    <w:p w14:paraId="2EE1BAD5" w14:textId="77777777" w:rsidR="001A025A" w:rsidRDefault="001A025A" w:rsidP="001A025A">
      <w:pPr>
        <w:pStyle w:val="Paragraphedeliste"/>
        <w:numPr>
          <w:ilvl w:val="0"/>
          <w:numId w:val="3"/>
        </w:numPr>
        <w:jc w:val="both"/>
      </w:pPr>
      <w:r>
        <w:t>Un mode d’emploi pour la mise en œuvre (macro-planning, normes et protocoles utilisés, documents de référence, ...)</w:t>
      </w:r>
    </w:p>
    <w:p w14:paraId="2EE1BAD6" w14:textId="77777777" w:rsidR="001A025A" w:rsidRDefault="001A025A" w:rsidP="001A025A">
      <w:pPr>
        <w:jc w:val="both"/>
      </w:pPr>
      <w:r>
        <w:t>Une grille de lecture synthétise ces informations. Elle est destinée aux établissements et professionnels qui passent un appel d’offres pour des solutions numériques de santé. Ils fourniront ainsi de façon rapide et complète les informations nécessaires aux industriels.</w:t>
      </w:r>
    </w:p>
    <w:p w14:paraId="2EE1BAD7" w14:textId="77777777" w:rsidR="00914A31" w:rsidRDefault="00914A31" w:rsidP="00914A31">
      <w:pPr>
        <w:jc w:val="both"/>
        <w:rPr>
          <w:b/>
        </w:rPr>
      </w:pPr>
      <w:r w:rsidRPr="00914A31">
        <w:rPr>
          <w:b/>
        </w:rPr>
        <w:t xml:space="preserve">Le cadre d’interopérabilité </w:t>
      </w:r>
      <w:r>
        <w:rPr>
          <w:b/>
        </w:rPr>
        <w:t>régional</w:t>
      </w:r>
      <w:r w:rsidRPr="00914A31">
        <w:rPr>
          <w:b/>
        </w:rPr>
        <w:t xml:space="preserve"> domine</w:t>
      </w:r>
      <w:r>
        <w:rPr>
          <w:b/>
        </w:rPr>
        <w:t xml:space="preserve">ra le </w:t>
      </w:r>
      <w:r w:rsidRPr="00914A31">
        <w:rPr>
          <w:b/>
        </w:rPr>
        <w:t>cadre d’interopérabilité</w:t>
      </w:r>
      <w:r>
        <w:rPr>
          <w:b/>
        </w:rPr>
        <w:t xml:space="preserve"> du CHU</w:t>
      </w:r>
      <w:r w:rsidRPr="00914A31">
        <w:rPr>
          <w:b/>
        </w:rPr>
        <w:t>.</w:t>
      </w:r>
    </w:p>
    <w:p w14:paraId="2EE1BAD8" w14:textId="77777777" w:rsidR="005B6A12" w:rsidRDefault="005B6A12" w:rsidP="00914A31">
      <w:pPr>
        <w:jc w:val="both"/>
        <w:rPr>
          <w:b/>
        </w:rPr>
      </w:pPr>
    </w:p>
    <w:p w14:paraId="2EE1BAD9" w14:textId="77777777" w:rsidR="001A025A" w:rsidRDefault="001A025A" w:rsidP="001E36FE">
      <w:pPr>
        <w:pStyle w:val="Titre3"/>
        <w:numPr>
          <w:ilvl w:val="2"/>
          <w:numId w:val="15"/>
        </w:numPr>
        <w:jc w:val="both"/>
      </w:pPr>
      <w:bookmarkStart w:id="11" w:name="_Toc73625237"/>
      <w:r>
        <w:t>Respect du cadre interopérabilité du Chu de Toulouse</w:t>
      </w:r>
      <w:bookmarkEnd w:id="11"/>
    </w:p>
    <w:p w14:paraId="2EE1BADA" w14:textId="63C9D645" w:rsidR="001A025A" w:rsidRDefault="001A025A" w:rsidP="001A025A">
      <w:pPr>
        <w:jc w:val="both"/>
      </w:pPr>
      <w:r>
        <w:t xml:space="preserve">Le CHU de Toulouse, comme tous les établissements de santé, préconisent via la </w:t>
      </w:r>
      <w:r w:rsidR="008D795A">
        <w:t>DSN</w:t>
      </w:r>
      <w:r>
        <w:t xml:space="preserve"> d’utiliser en priorité le référentiel IHE dans sa version la plus haute pour l’intégration technique et fonctionnelle.</w:t>
      </w:r>
    </w:p>
    <w:p w14:paraId="2EE1BADB" w14:textId="77777777" w:rsidR="001A025A" w:rsidRDefault="001A025A" w:rsidP="001A025A">
      <w:pPr>
        <w:jc w:val="both"/>
      </w:pPr>
      <w:r>
        <w:t>La normalisation IHE comprend :</w:t>
      </w:r>
    </w:p>
    <w:p w14:paraId="2EE1BADC" w14:textId="77777777" w:rsidR="001A025A" w:rsidRDefault="001A025A" w:rsidP="001A025A">
      <w:pPr>
        <w:pStyle w:val="Paragraphedeliste"/>
        <w:numPr>
          <w:ilvl w:val="0"/>
          <w:numId w:val="3"/>
        </w:numPr>
        <w:jc w:val="both"/>
      </w:pPr>
      <w:r>
        <w:t xml:space="preserve">La structure technique des messages en version HL7  </w:t>
      </w:r>
    </w:p>
    <w:p w14:paraId="2EE1BADD" w14:textId="77777777" w:rsidR="001A025A" w:rsidRDefault="001A025A" w:rsidP="001A025A">
      <w:pPr>
        <w:pStyle w:val="Paragraphedeliste"/>
        <w:ind w:left="1070"/>
        <w:jc w:val="both"/>
      </w:pPr>
      <w:r>
        <w:t>NB : L’ EAI Cloverleaf dispose de connecteur à jour et permet la compatibilité ascendante.</w:t>
      </w:r>
    </w:p>
    <w:p w14:paraId="2EE1BADE" w14:textId="77777777" w:rsidR="001A025A" w:rsidRDefault="001A025A" w:rsidP="001A025A">
      <w:pPr>
        <w:pStyle w:val="Paragraphedeliste"/>
        <w:numPr>
          <w:ilvl w:val="0"/>
          <w:numId w:val="5"/>
        </w:numPr>
        <w:jc w:val="both"/>
      </w:pPr>
      <w:r>
        <w:t>Le formalisme fonctionnel des messages : ADT, PAM, MFN, SIU, ORU etc…</w:t>
      </w:r>
    </w:p>
    <w:p w14:paraId="2EE1BADF" w14:textId="77777777" w:rsidR="001A025A" w:rsidRDefault="001A025A" w:rsidP="001A025A">
      <w:pPr>
        <w:pStyle w:val="Paragraphedeliste"/>
        <w:numPr>
          <w:ilvl w:val="0"/>
          <w:numId w:val="5"/>
        </w:numPr>
        <w:jc w:val="both"/>
      </w:pPr>
      <w:r>
        <w:t>La gestion des acquittements techniques et fonctionnelles par l’utilisation des messages et code retour de type AA, AE, AR etc …</w:t>
      </w:r>
    </w:p>
    <w:p w14:paraId="2EE1BAE0" w14:textId="77777777" w:rsidR="001A025A" w:rsidRDefault="001A025A" w:rsidP="001A025A">
      <w:pPr>
        <w:jc w:val="both"/>
      </w:pPr>
      <w:r>
        <w:t>Les autres normes de la santé tels que HPRIM et H’XML peuvent être utilisées notamment pour les intégrations de type d’activité mais ne doivent pas être préférées à IHE.</w:t>
      </w:r>
    </w:p>
    <w:p w14:paraId="2EE1BAE1" w14:textId="77777777" w:rsidR="001A025A" w:rsidRDefault="001A025A" w:rsidP="001A025A">
      <w:pPr>
        <w:jc w:val="both"/>
      </w:pPr>
      <w:r>
        <w:t>L’EAI Cloverleaf supporte également d’autres types de formats tels que fichiers ou messages XML, fichiers plats etc…</w:t>
      </w:r>
    </w:p>
    <w:p w14:paraId="2EE1BAE2" w14:textId="77777777" w:rsidR="001A025A" w:rsidRDefault="001A025A" w:rsidP="001A025A">
      <w:pPr>
        <w:jc w:val="both"/>
      </w:pPr>
    </w:p>
    <w:p w14:paraId="2EE1BAE3" w14:textId="77777777" w:rsidR="001A025A" w:rsidRDefault="001A025A" w:rsidP="002A79A5">
      <w:pPr>
        <w:pStyle w:val="Titre2"/>
        <w:numPr>
          <w:ilvl w:val="1"/>
          <w:numId w:val="15"/>
        </w:numPr>
      </w:pPr>
      <w:bookmarkStart w:id="12" w:name="_Toc73625238"/>
      <w:r>
        <w:t>Interface métier</w:t>
      </w:r>
      <w:bookmarkEnd w:id="12"/>
    </w:p>
    <w:p w14:paraId="2EE1BAE4" w14:textId="77777777" w:rsidR="001A025A" w:rsidRDefault="001A025A" w:rsidP="001A025A">
      <w:pPr>
        <w:jc w:val="both"/>
      </w:pPr>
      <w:r>
        <w:t>Les interfaces métiers fonctionnelles issues de l’application doivent s’inscrire dans ce cadre de cette supervision sécurisée et automatisée.</w:t>
      </w:r>
    </w:p>
    <w:p w14:paraId="2EE1BAE5" w14:textId="6FAAECF8" w:rsidR="001A025A" w:rsidRDefault="001A025A" w:rsidP="001A025A">
      <w:pPr>
        <w:jc w:val="both"/>
      </w:pPr>
      <w:r>
        <w:t xml:space="preserve">Si l’interface ne peut être réalisée avec l’outil EAI, elle doit pouvoir être intégrée dans la cartographie des flux du SIH et des échanges ; l’équipe Supervision de la </w:t>
      </w:r>
      <w:r w:rsidR="008D795A">
        <w:t>DSN</w:t>
      </w:r>
      <w:r>
        <w:t xml:space="preserve"> peut, dans ce cas, apporter une aide technique à sa mise en place avec l’EAI.</w:t>
      </w:r>
    </w:p>
    <w:p w14:paraId="2EE1BAE6" w14:textId="77777777" w:rsidR="001A025A" w:rsidRDefault="001A025A" w:rsidP="001A025A">
      <w:pPr>
        <w:jc w:val="both"/>
      </w:pPr>
      <w:r>
        <w:t>La livraison de l’interface métier doit impérativement comprendre :</w:t>
      </w:r>
    </w:p>
    <w:p w14:paraId="2EE1BAE7" w14:textId="77777777" w:rsidR="001A025A" w:rsidRDefault="001A025A" w:rsidP="001A025A">
      <w:pPr>
        <w:pStyle w:val="Paragraphedeliste"/>
        <w:numPr>
          <w:ilvl w:val="0"/>
          <w:numId w:val="5"/>
        </w:numPr>
        <w:jc w:val="both"/>
      </w:pPr>
      <w:r>
        <w:t xml:space="preserve">La documentation technique associée </w:t>
      </w:r>
    </w:p>
    <w:p w14:paraId="2EE1BAE8" w14:textId="77777777" w:rsidR="001A025A" w:rsidRDefault="001A025A" w:rsidP="001A025A">
      <w:pPr>
        <w:pStyle w:val="Paragraphedeliste"/>
        <w:numPr>
          <w:ilvl w:val="0"/>
          <w:numId w:val="5"/>
        </w:numPr>
        <w:jc w:val="both"/>
      </w:pPr>
      <w:r>
        <w:t>Les consignes de supervision correspondantes et actions en cas d’incidents</w:t>
      </w:r>
    </w:p>
    <w:p w14:paraId="2EE1BAE9" w14:textId="5E1CB8E1" w:rsidR="001A025A" w:rsidRDefault="001A025A" w:rsidP="001A025A">
      <w:pPr>
        <w:jc w:val="both"/>
      </w:pPr>
      <w:r>
        <w:t xml:space="preserve">La </w:t>
      </w:r>
      <w:r w:rsidR="008D795A">
        <w:t>DSN</w:t>
      </w:r>
      <w:r>
        <w:t xml:space="preserve"> fournira une trame de document de supervision ; celle-ci devra être enrichie par l’éditeur au moment de la mise en exploitation.</w:t>
      </w:r>
    </w:p>
    <w:p w14:paraId="2EE1BAEA" w14:textId="77777777" w:rsidR="001A025A" w:rsidRDefault="001A025A" w:rsidP="001A025A">
      <w:pPr>
        <w:jc w:val="both"/>
      </w:pPr>
    </w:p>
    <w:p w14:paraId="2EE1BAEB" w14:textId="77777777" w:rsidR="001A025A" w:rsidRDefault="001A025A" w:rsidP="002A79A5">
      <w:pPr>
        <w:pStyle w:val="Titre2"/>
        <w:numPr>
          <w:ilvl w:val="1"/>
          <w:numId w:val="15"/>
        </w:numPr>
      </w:pPr>
      <w:bookmarkStart w:id="13" w:name="_Toc73625239"/>
      <w:r>
        <w:t>Sécurisation des échanges</w:t>
      </w:r>
      <w:bookmarkEnd w:id="13"/>
    </w:p>
    <w:p w14:paraId="2EE1BAEC" w14:textId="77777777" w:rsidR="001A025A" w:rsidRDefault="001A025A" w:rsidP="001A025A">
      <w:pPr>
        <w:jc w:val="both"/>
      </w:pPr>
      <w:r>
        <w:t>L’ensemble des échanges devront respecter la politique technique de sécurité mise en place au niveau du GHT.</w:t>
      </w:r>
    </w:p>
    <w:p w14:paraId="2EE1BAED" w14:textId="77777777" w:rsidR="001A025A" w:rsidRDefault="001A025A" w:rsidP="001A025A">
      <w:pPr>
        <w:jc w:val="both"/>
      </w:pPr>
      <w:r>
        <w:t>Les transmissions chiffrées doivent utiliser uniquement des méthodes de chiffrements robustes.</w:t>
      </w:r>
    </w:p>
    <w:tbl>
      <w:tblPr>
        <w:tblStyle w:val="Grilledutableau"/>
        <w:tblW w:w="0" w:type="auto"/>
        <w:tblLook w:val="04A0" w:firstRow="1" w:lastRow="0" w:firstColumn="1" w:lastColumn="0" w:noHBand="0" w:noVBand="1"/>
      </w:tblPr>
      <w:tblGrid>
        <w:gridCol w:w="2188"/>
        <w:gridCol w:w="2319"/>
        <w:gridCol w:w="2320"/>
        <w:gridCol w:w="2235"/>
      </w:tblGrid>
      <w:tr w:rsidR="001A025A" w14:paraId="2EE1BAF2" w14:textId="77777777" w:rsidTr="006F08AA">
        <w:tc>
          <w:tcPr>
            <w:tcW w:w="2548" w:type="dxa"/>
          </w:tcPr>
          <w:p w14:paraId="2EE1BAEE" w14:textId="77777777" w:rsidR="001A025A" w:rsidRDefault="001A025A" w:rsidP="001A025A">
            <w:pPr>
              <w:jc w:val="both"/>
            </w:pPr>
            <w:r w:rsidRPr="00DF1E19">
              <w:rPr>
                <w:b/>
              </w:rPr>
              <w:t>Protocole</w:t>
            </w:r>
          </w:p>
        </w:tc>
        <w:tc>
          <w:tcPr>
            <w:tcW w:w="2548" w:type="dxa"/>
          </w:tcPr>
          <w:p w14:paraId="2EE1BAEF" w14:textId="77777777" w:rsidR="001A025A" w:rsidRDefault="001A025A" w:rsidP="001A025A">
            <w:pPr>
              <w:jc w:val="both"/>
            </w:pPr>
            <w:r w:rsidRPr="00184E37">
              <w:rPr>
                <w:b/>
              </w:rPr>
              <w:t>Authentification client</w:t>
            </w:r>
          </w:p>
        </w:tc>
        <w:tc>
          <w:tcPr>
            <w:tcW w:w="2549" w:type="dxa"/>
          </w:tcPr>
          <w:p w14:paraId="2EE1BAF0" w14:textId="77777777" w:rsidR="001A025A" w:rsidRDefault="001A025A" w:rsidP="001A025A">
            <w:pPr>
              <w:jc w:val="both"/>
            </w:pPr>
            <w:r w:rsidRPr="00184E37">
              <w:rPr>
                <w:b/>
              </w:rPr>
              <w:t>Authentification serveur</w:t>
            </w:r>
          </w:p>
        </w:tc>
        <w:tc>
          <w:tcPr>
            <w:tcW w:w="2549" w:type="dxa"/>
          </w:tcPr>
          <w:p w14:paraId="2EE1BAF1" w14:textId="77777777" w:rsidR="001A025A" w:rsidRDefault="001A025A" w:rsidP="001A025A">
            <w:pPr>
              <w:jc w:val="both"/>
            </w:pPr>
            <w:r w:rsidRPr="00DF1E19">
              <w:rPr>
                <w:b/>
              </w:rPr>
              <w:t>Chiffrement transport</w:t>
            </w:r>
          </w:p>
        </w:tc>
      </w:tr>
      <w:tr w:rsidR="001A025A" w14:paraId="2EE1BAF7" w14:textId="77777777" w:rsidTr="006F08AA">
        <w:tc>
          <w:tcPr>
            <w:tcW w:w="2548" w:type="dxa"/>
          </w:tcPr>
          <w:p w14:paraId="2EE1BAF3" w14:textId="77777777" w:rsidR="001A025A" w:rsidRDefault="001A025A" w:rsidP="001A025A">
            <w:pPr>
              <w:jc w:val="both"/>
            </w:pPr>
            <w:r>
              <w:t>SFTP</w:t>
            </w:r>
          </w:p>
        </w:tc>
        <w:tc>
          <w:tcPr>
            <w:tcW w:w="2548" w:type="dxa"/>
          </w:tcPr>
          <w:p w14:paraId="2EE1BAF4" w14:textId="77777777" w:rsidR="001A025A" w:rsidRDefault="001A025A" w:rsidP="001A025A">
            <w:pPr>
              <w:jc w:val="both"/>
            </w:pPr>
            <w:r>
              <w:t>OUI</w:t>
            </w:r>
          </w:p>
        </w:tc>
        <w:tc>
          <w:tcPr>
            <w:tcW w:w="2549" w:type="dxa"/>
          </w:tcPr>
          <w:p w14:paraId="2EE1BAF5" w14:textId="77777777" w:rsidR="001A025A" w:rsidRDefault="001A025A" w:rsidP="001A025A">
            <w:pPr>
              <w:jc w:val="both"/>
            </w:pPr>
            <w:r>
              <w:t>OUI</w:t>
            </w:r>
          </w:p>
        </w:tc>
        <w:tc>
          <w:tcPr>
            <w:tcW w:w="2549" w:type="dxa"/>
          </w:tcPr>
          <w:p w14:paraId="2EE1BAF6" w14:textId="77777777" w:rsidR="001A025A" w:rsidRDefault="001A025A" w:rsidP="001A025A">
            <w:pPr>
              <w:jc w:val="both"/>
            </w:pPr>
            <w:r>
              <w:t>SSH</w:t>
            </w:r>
          </w:p>
        </w:tc>
      </w:tr>
      <w:tr w:rsidR="001A025A" w14:paraId="2EE1BAFC" w14:textId="77777777" w:rsidTr="006F08AA">
        <w:tc>
          <w:tcPr>
            <w:tcW w:w="2548" w:type="dxa"/>
          </w:tcPr>
          <w:p w14:paraId="2EE1BAF8" w14:textId="77777777" w:rsidR="001A025A" w:rsidRDefault="001A025A" w:rsidP="001A025A">
            <w:pPr>
              <w:jc w:val="both"/>
            </w:pPr>
            <w:r>
              <w:t>FTPS</w:t>
            </w:r>
          </w:p>
        </w:tc>
        <w:tc>
          <w:tcPr>
            <w:tcW w:w="2548" w:type="dxa"/>
          </w:tcPr>
          <w:p w14:paraId="2EE1BAF9" w14:textId="77777777" w:rsidR="001A025A" w:rsidRDefault="001A025A" w:rsidP="001A025A">
            <w:pPr>
              <w:jc w:val="both"/>
            </w:pPr>
            <w:r>
              <w:t>OUI</w:t>
            </w:r>
          </w:p>
        </w:tc>
        <w:tc>
          <w:tcPr>
            <w:tcW w:w="2549" w:type="dxa"/>
          </w:tcPr>
          <w:p w14:paraId="2EE1BAFA" w14:textId="77777777" w:rsidR="001A025A" w:rsidRDefault="001A025A" w:rsidP="001A025A">
            <w:pPr>
              <w:jc w:val="both"/>
            </w:pPr>
            <w:r>
              <w:t>OUI</w:t>
            </w:r>
          </w:p>
        </w:tc>
        <w:tc>
          <w:tcPr>
            <w:tcW w:w="2549" w:type="dxa"/>
          </w:tcPr>
          <w:p w14:paraId="2EE1BAFB" w14:textId="77777777" w:rsidR="001A025A" w:rsidRDefault="001A025A" w:rsidP="001A025A">
            <w:pPr>
              <w:jc w:val="both"/>
            </w:pPr>
            <w:r>
              <w:t>SSL</w:t>
            </w:r>
          </w:p>
        </w:tc>
      </w:tr>
      <w:tr w:rsidR="001A025A" w14:paraId="2EE1BB01" w14:textId="77777777" w:rsidTr="006F08AA">
        <w:tc>
          <w:tcPr>
            <w:tcW w:w="2548" w:type="dxa"/>
          </w:tcPr>
          <w:p w14:paraId="2EE1BAFD" w14:textId="77777777" w:rsidR="001A025A" w:rsidRDefault="001A025A" w:rsidP="001A025A">
            <w:pPr>
              <w:jc w:val="both"/>
            </w:pPr>
            <w:r>
              <w:t xml:space="preserve">Web </w:t>
            </w:r>
            <w:r w:rsidR="00815B14">
              <w:t>S</w:t>
            </w:r>
            <w:r>
              <w:t>ervice</w:t>
            </w:r>
          </w:p>
        </w:tc>
        <w:tc>
          <w:tcPr>
            <w:tcW w:w="2548" w:type="dxa"/>
          </w:tcPr>
          <w:p w14:paraId="2EE1BAFE" w14:textId="77777777" w:rsidR="001A025A" w:rsidRDefault="001A025A" w:rsidP="001A025A">
            <w:pPr>
              <w:jc w:val="both"/>
            </w:pPr>
            <w:r>
              <w:t>OUI</w:t>
            </w:r>
          </w:p>
        </w:tc>
        <w:tc>
          <w:tcPr>
            <w:tcW w:w="2549" w:type="dxa"/>
          </w:tcPr>
          <w:p w14:paraId="2EE1BAFF" w14:textId="77777777" w:rsidR="001A025A" w:rsidRDefault="001A025A" w:rsidP="001A025A">
            <w:pPr>
              <w:jc w:val="both"/>
            </w:pPr>
            <w:r>
              <w:t>OUI</w:t>
            </w:r>
          </w:p>
        </w:tc>
        <w:tc>
          <w:tcPr>
            <w:tcW w:w="2549" w:type="dxa"/>
          </w:tcPr>
          <w:p w14:paraId="2EE1BB00" w14:textId="77777777" w:rsidR="001A025A" w:rsidRDefault="001A025A" w:rsidP="001A025A">
            <w:pPr>
              <w:jc w:val="both"/>
            </w:pPr>
            <w:r>
              <w:t>SSL</w:t>
            </w:r>
          </w:p>
        </w:tc>
      </w:tr>
      <w:tr w:rsidR="001A025A" w14:paraId="2EE1BB06" w14:textId="77777777" w:rsidTr="006F08AA">
        <w:tc>
          <w:tcPr>
            <w:tcW w:w="2548" w:type="dxa"/>
          </w:tcPr>
          <w:p w14:paraId="2EE1BB02" w14:textId="77777777" w:rsidR="001A025A" w:rsidRDefault="001A025A" w:rsidP="001A025A">
            <w:pPr>
              <w:jc w:val="both"/>
            </w:pPr>
            <w:r>
              <w:t>Socket</w:t>
            </w:r>
          </w:p>
        </w:tc>
        <w:tc>
          <w:tcPr>
            <w:tcW w:w="2548" w:type="dxa"/>
          </w:tcPr>
          <w:p w14:paraId="2EE1BB03" w14:textId="77777777" w:rsidR="001A025A" w:rsidRDefault="001A025A" w:rsidP="001A025A">
            <w:pPr>
              <w:jc w:val="both"/>
            </w:pPr>
            <w:r>
              <w:t>OUI</w:t>
            </w:r>
          </w:p>
        </w:tc>
        <w:tc>
          <w:tcPr>
            <w:tcW w:w="2549" w:type="dxa"/>
          </w:tcPr>
          <w:p w14:paraId="2EE1BB04" w14:textId="77777777" w:rsidR="001A025A" w:rsidRDefault="001A025A" w:rsidP="001A025A">
            <w:pPr>
              <w:jc w:val="both"/>
            </w:pPr>
            <w:r>
              <w:t>OUI</w:t>
            </w:r>
          </w:p>
        </w:tc>
        <w:tc>
          <w:tcPr>
            <w:tcW w:w="2549" w:type="dxa"/>
          </w:tcPr>
          <w:p w14:paraId="2EE1BB05" w14:textId="77777777" w:rsidR="001A025A" w:rsidRDefault="001A025A" w:rsidP="001A025A">
            <w:pPr>
              <w:jc w:val="both"/>
            </w:pPr>
            <w:r>
              <w:t>SSL</w:t>
            </w:r>
          </w:p>
        </w:tc>
      </w:tr>
    </w:tbl>
    <w:p w14:paraId="2EE1BB07" w14:textId="77777777" w:rsidR="001A025A" w:rsidRDefault="001A025A" w:rsidP="001A025A">
      <w:pPr>
        <w:jc w:val="both"/>
      </w:pPr>
    </w:p>
    <w:p w14:paraId="2EE1BB08" w14:textId="77777777" w:rsidR="001A025A" w:rsidRDefault="001A025A" w:rsidP="001A025A">
      <w:pPr>
        <w:jc w:val="both"/>
      </w:pPr>
    </w:p>
    <w:p w14:paraId="2EE1BB09" w14:textId="77777777" w:rsidR="00815B14" w:rsidRDefault="00815B14">
      <w:pPr>
        <w:rPr>
          <w:rFonts w:asciiTheme="majorHAnsi" w:eastAsiaTheme="majorEastAsia" w:hAnsiTheme="majorHAnsi" w:cstheme="majorBidi"/>
          <w:color w:val="2F5496" w:themeColor="accent1" w:themeShade="BF"/>
          <w:sz w:val="32"/>
          <w:szCs w:val="32"/>
        </w:rPr>
      </w:pPr>
      <w:r>
        <w:br w:type="page"/>
      </w:r>
    </w:p>
    <w:p w14:paraId="2EE1BB0A" w14:textId="77777777" w:rsidR="001A025A" w:rsidRDefault="001A025A" w:rsidP="002A79A5">
      <w:pPr>
        <w:pStyle w:val="Titre1"/>
      </w:pPr>
      <w:bookmarkStart w:id="14" w:name="_Toc73625240"/>
      <w:r>
        <w:lastRenderedPageBreak/>
        <w:t>Définition des périmètres</w:t>
      </w:r>
      <w:bookmarkEnd w:id="14"/>
    </w:p>
    <w:p w14:paraId="2EE1BB0B" w14:textId="77777777" w:rsidR="001A025A" w:rsidRDefault="001A025A" w:rsidP="001A025A">
      <w:pPr>
        <w:jc w:val="both"/>
      </w:pPr>
      <w:r>
        <w:t>Les périmètres concernés par l’EAI sont les suivants :</w:t>
      </w:r>
    </w:p>
    <w:p w14:paraId="2EE1BB0C" w14:textId="77777777" w:rsidR="001A025A" w:rsidRDefault="001A025A" w:rsidP="001A025A">
      <w:pPr>
        <w:pStyle w:val="Paragraphedeliste"/>
        <w:numPr>
          <w:ilvl w:val="0"/>
          <w:numId w:val="8"/>
        </w:numPr>
        <w:jc w:val="both"/>
      </w:pPr>
      <w:r>
        <w:t>Périmètre de flux EAI interne :</w:t>
      </w:r>
    </w:p>
    <w:p w14:paraId="2EE1BB0D" w14:textId="77777777" w:rsidR="001A025A" w:rsidRDefault="001A025A" w:rsidP="001A025A">
      <w:pPr>
        <w:pStyle w:val="Paragraphedeliste"/>
        <w:numPr>
          <w:ilvl w:val="1"/>
          <w:numId w:val="1"/>
        </w:numPr>
        <w:jc w:val="both"/>
      </w:pPr>
      <w:r>
        <w:t>Zone réseau sécurisée 27001</w:t>
      </w:r>
    </w:p>
    <w:p w14:paraId="2EE1BB0E" w14:textId="77777777" w:rsidR="001A025A" w:rsidRDefault="001A025A" w:rsidP="001A025A">
      <w:pPr>
        <w:pStyle w:val="Paragraphedeliste"/>
        <w:numPr>
          <w:ilvl w:val="1"/>
          <w:numId w:val="1"/>
        </w:numPr>
        <w:jc w:val="both"/>
      </w:pPr>
      <w:r>
        <w:t>Zone réseau CHU Toulouse</w:t>
      </w:r>
    </w:p>
    <w:p w14:paraId="2EE1BB0F" w14:textId="77777777" w:rsidR="001A025A" w:rsidRDefault="001A025A" w:rsidP="001A025A">
      <w:pPr>
        <w:pStyle w:val="Paragraphedeliste"/>
        <w:numPr>
          <w:ilvl w:val="1"/>
          <w:numId w:val="1"/>
        </w:numPr>
        <w:jc w:val="both"/>
      </w:pPr>
      <w:r>
        <w:t>Zones réseau des membres du GHT HGTO</w:t>
      </w:r>
    </w:p>
    <w:p w14:paraId="2EE1BB10" w14:textId="77777777" w:rsidR="001A025A" w:rsidRDefault="001A025A" w:rsidP="001A025A">
      <w:pPr>
        <w:pStyle w:val="Paragraphedeliste"/>
        <w:numPr>
          <w:ilvl w:val="1"/>
          <w:numId w:val="1"/>
        </w:numPr>
        <w:jc w:val="both"/>
      </w:pPr>
      <w:r>
        <w:t>Hébergement SaaS/PaaS/Iaas du CHU Toulouse et des membres du GHT.</w:t>
      </w:r>
    </w:p>
    <w:p w14:paraId="2EE1BB11" w14:textId="77777777" w:rsidR="001A025A" w:rsidRDefault="001A025A" w:rsidP="001A025A">
      <w:pPr>
        <w:jc w:val="both"/>
      </w:pPr>
    </w:p>
    <w:p w14:paraId="2EE1BB12" w14:textId="77777777" w:rsidR="001A025A" w:rsidRDefault="001A025A" w:rsidP="001A025A">
      <w:pPr>
        <w:pStyle w:val="Paragraphedeliste"/>
        <w:numPr>
          <w:ilvl w:val="0"/>
          <w:numId w:val="8"/>
        </w:numPr>
        <w:jc w:val="both"/>
      </w:pPr>
      <w:r>
        <w:t>Périmètre de flux EAI externe :</w:t>
      </w:r>
    </w:p>
    <w:p w14:paraId="2EE1BB13" w14:textId="77777777" w:rsidR="001A025A" w:rsidRDefault="001A025A" w:rsidP="001A025A">
      <w:pPr>
        <w:pStyle w:val="Paragraphedeliste"/>
        <w:numPr>
          <w:ilvl w:val="1"/>
          <w:numId w:val="1"/>
        </w:numPr>
        <w:jc w:val="both"/>
      </w:pPr>
      <w:r>
        <w:t>Equipements externes (zone internet)</w:t>
      </w:r>
    </w:p>
    <w:p w14:paraId="2EE1BB14" w14:textId="77777777" w:rsidR="001A025A" w:rsidRDefault="001A025A" w:rsidP="001A025A">
      <w:pPr>
        <w:pStyle w:val="Paragraphedeliste"/>
        <w:numPr>
          <w:ilvl w:val="1"/>
          <w:numId w:val="1"/>
        </w:numPr>
        <w:jc w:val="both"/>
      </w:pPr>
      <w:r>
        <w:t xml:space="preserve">Etablissements sans convention </w:t>
      </w:r>
    </w:p>
    <w:p w14:paraId="2EE1BB15" w14:textId="77777777" w:rsidR="001A025A" w:rsidRDefault="001A025A" w:rsidP="001A025A">
      <w:pPr>
        <w:pStyle w:val="Paragraphedeliste"/>
        <w:numPr>
          <w:ilvl w:val="1"/>
          <w:numId w:val="1"/>
        </w:numPr>
        <w:jc w:val="both"/>
      </w:pPr>
      <w:r>
        <w:t>Partenaires et prestataires hors hébergement (télémaintenance…).</w:t>
      </w:r>
    </w:p>
    <w:p w14:paraId="2EE1BB16" w14:textId="77777777" w:rsidR="001A025A" w:rsidRDefault="001A025A" w:rsidP="001A025A">
      <w:pPr>
        <w:jc w:val="both"/>
      </w:pPr>
    </w:p>
    <w:p w14:paraId="2EE1BB17" w14:textId="77777777" w:rsidR="001A025A" w:rsidRDefault="001A025A" w:rsidP="002A79A5">
      <w:pPr>
        <w:pStyle w:val="Titre1"/>
      </w:pPr>
      <w:bookmarkStart w:id="15" w:name="_Toc73625241"/>
      <w:r>
        <w:t>Politique de chiffrement de la donnée (hors chiffrement tunnel)</w:t>
      </w:r>
      <w:bookmarkEnd w:id="15"/>
    </w:p>
    <w:p w14:paraId="2EE1BB18" w14:textId="77777777" w:rsidR="001A025A" w:rsidRDefault="001A025A" w:rsidP="001A025A">
      <w:pPr>
        <w:pStyle w:val="Paragraphedeliste"/>
        <w:numPr>
          <w:ilvl w:val="0"/>
          <w:numId w:val="1"/>
        </w:numPr>
        <w:jc w:val="both"/>
      </w:pPr>
      <w:r>
        <w:t>Chiffrement du transport : le protocole préférentiel de chiffrement de tunnel est le TLS afin de permettre l’inspection de flux.</w:t>
      </w:r>
    </w:p>
    <w:p w14:paraId="2EE1BB19" w14:textId="77777777" w:rsidR="001A025A" w:rsidRDefault="001A025A" w:rsidP="001A025A">
      <w:pPr>
        <w:pStyle w:val="Paragraphedeliste"/>
        <w:numPr>
          <w:ilvl w:val="1"/>
          <w:numId w:val="1"/>
        </w:numPr>
        <w:jc w:val="both"/>
      </w:pPr>
      <w:r>
        <w:t>Sur le périmètre de flux EAI externe, un tunnel chiffré est exigé.</w:t>
      </w:r>
    </w:p>
    <w:p w14:paraId="2EE1BB1A" w14:textId="77777777" w:rsidR="001A025A" w:rsidRDefault="001A025A" w:rsidP="001A025A">
      <w:pPr>
        <w:pStyle w:val="Paragraphedeliste"/>
        <w:numPr>
          <w:ilvl w:val="1"/>
          <w:numId w:val="1"/>
        </w:numPr>
        <w:jc w:val="both"/>
      </w:pPr>
      <w:r>
        <w:t xml:space="preserve">Sur le périmètre de flux EAI interne, un tunnel chiffré est demandé, sauf exceptions identifiées (voir tableau des protocoles d’échange EAI). </w:t>
      </w:r>
    </w:p>
    <w:p w14:paraId="2EE1BB1B" w14:textId="77777777" w:rsidR="001A025A" w:rsidRDefault="001A025A" w:rsidP="001A025A">
      <w:pPr>
        <w:pStyle w:val="Paragraphedeliste"/>
        <w:numPr>
          <w:ilvl w:val="0"/>
          <w:numId w:val="1"/>
        </w:numPr>
        <w:jc w:val="both"/>
      </w:pPr>
      <w:r>
        <w:t>Chiffrement de la donnée : les données ne sont pas chiffrées, sauf exigence légale ou réglementaire spécifique.</w:t>
      </w:r>
    </w:p>
    <w:p w14:paraId="2EE1BB1C" w14:textId="77777777" w:rsidR="001A025A" w:rsidRPr="001A025A" w:rsidRDefault="001A025A" w:rsidP="001A025A">
      <w:pPr>
        <w:jc w:val="both"/>
      </w:pPr>
    </w:p>
    <w:sectPr w:rsidR="001A025A" w:rsidRPr="001A02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F3ACD"/>
    <w:multiLevelType w:val="hybridMultilevel"/>
    <w:tmpl w:val="FCF2812A"/>
    <w:lvl w:ilvl="0" w:tplc="CF4ACC72">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4F6E54"/>
    <w:multiLevelType w:val="multilevel"/>
    <w:tmpl w:val="4C48DB90"/>
    <w:lvl w:ilvl="0">
      <w:start w:val="1"/>
      <w:numFmt w:val="decimal"/>
      <w:pStyle w:val="Titre2"/>
      <w:lvlText w:val="%1."/>
      <w:lvlJc w:val="left"/>
      <w:pPr>
        <w:ind w:left="720" w:hanging="360"/>
      </w:pPr>
      <w:rPr>
        <w:rFonts w:hint="default"/>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6C4596D"/>
    <w:multiLevelType w:val="hybridMultilevel"/>
    <w:tmpl w:val="F5F8C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BF6856"/>
    <w:multiLevelType w:val="hybridMultilevel"/>
    <w:tmpl w:val="DAAA542E"/>
    <w:lvl w:ilvl="0" w:tplc="5DFE4C02">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7724004"/>
    <w:multiLevelType w:val="hybridMultilevel"/>
    <w:tmpl w:val="2FF8C422"/>
    <w:lvl w:ilvl="0" w:tplc="4014C2B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CAB2783"/>
    <w:multiLevelType w:val="hybridMultilevel"/>
    <w:tmpl w:val="016496BE"/>
    <w:lvl w:ilvl="0" w:tplc="CF4ACC72">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121F7C"/>
    <w:multiLevelType w:val="hybridMultilevel"/>
    <w:tmpl w:val="41908430"/>
    <w:lvl w:ilvl="0" w:tplc="CF4ACC72">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413153"/>
    <w:multiLevelType w:val="hybridMultilevel"/>
    <w:tmpl w:val="353498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4243BBC"/>
    <w:multiLevelType w:val="hybridMultilevel"/>
    <w:tmpl w:val="C7C43834"/>
    <w:lvl w:ilvl="0" w:tplc="CF4ACC72">
      <w:numFmt w:val="bullet"/>
      <w:lvlText w:val="•"/>
      <w:lvlJc w:val="left"/>
      <w:pPr>
        <w:ind w:left="710" w:hanging="71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5A536659"/>
    <w:multiLevelType w:val="hybridMultilevel"/>
    <w:tmpl w:val="562438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474012D"/>
    <w:multiLevelType w:val="hybridMultilevel"/>
    <w:tmpl w:val="B7F84D42"/>
    <w:lvl w:ilvl="0" w:tplc="CF4ACC72">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48A5D4C"/>
    <w:multiLevelType w:val="hybridMultilevel"/>
    <w:tmpl w:val="0DEEDCF4"/>
    <w:lvl w:ilvl="0" w:tplc="CF4ACC72">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D3138A0"/>
    <w:multiLevelType w:val="multilevel"/>
    <w:tmpl w:val="4C48DB90"/>
    <w:lvl w:ilvl="0">
      <w:start w:val="1"/>
      <w:numFmt w:val="decimal"/>
      <w:lvlText w:val="%1."/>
      <w:lvlJc w:val="left"/>
      <w:pPr>
        <w:ind w:left="720" w:hanging="360"/>
      </w:pPr>
      <w:rPr>
        <w:rFonts w:hint="default"/>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AB53CD0"/>
    <w:multiLevelType w:val="hybridMultilevel"/>
    <w:tmpl w:val="82067FF2"/>
    <w:lvl w:ilvl="0" w:tplc="CF4ACC72">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D032E9F"/>
    <w:multiLevelType w:val="hybridMultilevel"/>
    <w:tmpl w:val="8A6E019E"/>
    <w:lvl w:ilvl="0" w:tplc="CF4ACC72">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F56606B"/>
    <w:multiLevelType w:val="hybridMultilevel"/>
    <w:tmpl w:val="0E0A1A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0"/>
  </w:num>
  <w:num w:numId="4">
    <w:abstractNumId w:val="11"/>
  </w:num>
  <w:num w:numId="5">
    <w:abstractNumId w:val="5"/>
  </w:num>
  <w:num w:numId="6">
    <w:abstractNumId w:val="6"/>
  </w:num>
  <w:num w:numId="7">
    <w:abstractNumId w:val="0"/>
  </w:num>
  <w:num w:numId="8">
    <w:abstractNumId w:val="7"/>
  </w:num>
  <w:num w:numId="9">
    <w:abstractNumId w:val="13"/>
  </w:num>
  <w:num w:numId="10">
    <w:abstractNumId w:val="8"/>
  </w:num>
  <w:num w:numId="11">
    <w:abstractNumId w:val="14"/>
  </w:num>
  <w:num w:numId="12">
    <w:abstractNumId w:val="4"/>
  </w:num>
  <w:num w:numId="13">
    <w:abstractNumId w:val="9"/>
  </w:num>
  <w:num w:numId="14">
    <w:abstractNumId w:val="3"/>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25A"/>
    <w:rsid w:val="00013B16"/>
    <w:rsid w:val="001A025A"/>
    <w:rsid w:val="001E36FE"/>
    <w:rsid w:val="002A79A5"/>
    <w:rsid w:val="005B6A12"/>
    <w:rsid w:val="00651276"/>
    <w:rsid w:val="00815B14"/>
    <w:rsid w:val="008D795A"/>
    <w:rsid w:val="00914A31"/>
    <w:rsid w:val="0097505C"/>
    <w:rsid w:val="009C0C53"/>
    <w:rsid w:val="00B97A6F"/>
    <w:rsid w:val="00E8293E"/>
    <w:rsid w:val="00FB5B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1BA52"/>
  <w15:chartTrackingRefBased/>
  <w15:docId w15:val="{4C08DD72-7B64-489E-8E5E-D67807A98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A31"/>
  </w:style>
  <w:style w:type="paragraph" w:styleId="Titre1">
    <w:name w:val="heading 1"/>
    <w:basedOn w:val="Normal"/>
    <w:next w:val="Normal"/>
    <w:link w:val="Titre1Car"/>
    <w:uiPriority w:val="9"/>
    <w:qFormat/>
    <w:rsid w:val="001A025A"/>
    <w:pPr>
      <w:keepNext/>
      <w:keepLines/>
      <w:numPr>
        <w:numId w:val="14"/>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1A025A"/>
    <w:pPr>
      <w:keepNext/>
      <w:keepLines/>
      <w:numPr>
        <w:numId w:val="15"/>
      </w:numPr>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1A025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A025A"/>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1A025A"/>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1A025A"/>
    <w:rPr>
      <w:rFonts w:asciiTheme="majorHAnsi" w:eastAsiaTheme="majorEastAsia" w:hAnsiTheme="majorHAnsi" w:cstheme="majorBidi"/>
      <w:color w:val="1F3763" w:themeColor="accent1" w:themeShade="7F"/>
      <w:sz w:val="24"/>
      <w:szCs w:val="24"/>
    </w:rPr>
  </w:style>
  <w:style w:type="paragraph" w:customStyle="1" w:styleId="TableauCorps">
    <w:name w:val="Tableau : Corps"/>
    <w:basedOn w:val="Normal"/>
    <w:rsid w:val="001A025A"/>
    <w:pPr>
      <w:spacing w:before="120" w:after="120" w:line="240" w:lineRule="auto"/>
      <w:jc w:val="both"/>
    </w:pPr>
    <w:rPr>
      <w:rFonts w:ascii="Verdana" w:eastAsia="Times New Roman" w:hAnsi="Verdana" w:cs="Times New Roman"/>
      <w:sz w:val="16"/>
      <w:szCs w:val="20"/>
      <w:lang w:eastAsia="fr-FR"/>
    </w:rPr>
  </w:style>
  <w:style w:type="paragraph" w:customStyle="1" w:styleId="Corpsdetableau">
    <w:name w:val="Corps de tableau"/>
    <w:basedOn w:val="Normal"/>
    <w:rsid w:val="001A025A"/>
    <w:pPr>
      <w:spacing w:before="120" w:after="120" w:line="240" w:lineRule="auto"/>
      <w:jc w:val="both"/>
    </w:pPr>
    <w:rPr>
      <w:rFonts w:ascii="Calibri" w:eastAsia="Times New Roman" w:hAnsi="Calibri" w:cs="Times New Roman"/>
      <w:sz w:val="16"/>
      <w:szCs w:val="20"/>
      <w:lang w:eastAsia="fr-FR"/>
    </w:rPr>
  </w:style>
  <w:style w:type="paragraph" w:customStyle="1" w:styleId="TableauTitre">
    <w:name w:val="Tableau : Titre"/>
    <w:basedOn w:val="Normal"/>
    <w:rsid w:val="001A025A"/>
    <w:pPr>
      <w:spacing w:before="60" w:after="60" w:line="240" w:lineRule="auto"/>
      <w:jc w:val="center"/>
    </w:pPr>
    <w:rPr>
      <w:rFonts w:ascii="Verdana" w:eastAsia="Times New Roman" w:hAnsi="Verdana" w:cs="Times New Roman"/>
      <w:b/>
      <w:sz w:val="24"/>
      <w:szCs w:val="20"/>
      <w:lang w:eastAsia="fr-FR"/>
    </w:rPr>
  </w:style>
  <w:style w:type="paragraph" w:customStyle="1" w:styleId="TableauSoustitre">
    <w:name w:val="Tableau : Sous titre"/>
    <w:basedOn w:val="TableauTitre"/>
    <w:rsid w:val="001A025A"/>
    <w:rPr>
      <w:b w:val="0"/>
      <w:sz w:val="22"/>
    </w:rPr>
  </w:style>
  <w:style w:type="character" w:customStyle="1" w:styleId="RepreChamp">
    <w:name w:val="RepèreChamp"/>
    <w:basedOn w:val="Policepardfaut"/>
    <w:rsid w:val="001A025A"/>
    <w:rPr>
      <w:rFonts w:ascii="Arial" w:hAnsi="Arial"/>
      <w:vanish/>
      <w:color w:val="FF0000"/>
      <w:sz w:val="16"/>
      <w:vertAlign w:val="baseline"/>
    </w:rPr>
  </w:style>
  <w:style w:type="paragraph" w:styleId="Paragraphedeliste">
    <w:name w:val="List Paragraph"/>
    <w:basedOn w:val="Normal"/>
    <w:uiPriority w:val="34"/>
    <w:qFormat/>
    <w:rsid w:val="001A025A"/>
    <w:pPr>
      <w:ind w:left="720"/>
      <w:contextualSpacing/>
    </w:pPr>
  </w:style>
  <w:style w:type="character" w:styleId="Lienhypertexte">
    <w:name w:val="Hyperlink"/>
    <w:basedOn w:val="Policepardfaut"/>
    <w:uiPriority w:val="99"/>
    <w:unhideWhenUsed/>
    <w:rsid w:val="001A025A"/>
    <w:rPr>
      <w:color w:val="0563C1" w:themeColor="hyperlink"/>
      <w:u w:val="single"/>
    </w:rPr>
  </w:style>
  <w:style w:type="character" w:styleId="Mentionnonrsolue">
    <w:name w:val="Unresolved Mention"/>
    <w:basedOn w:val="Policepardfaut"/>
    <w:uiPriority w:val="99"/>
    <w:semiHidden/>
    <w:unhideWhenUsed/>
    <w:rsid w:val="001A025A"/>
    <w:rPr>
      <w:color w:val="605E5C"/>
      <w:shd w:val="clear" w:color="auto" w:fill="E1DFDD"/>
    </w:rPr>
  </w:style>
  <w:style w:type="table" w:styleId="Grilledutableau">
    <w:name w:val="Table Grid"/>
    <w:basedOn w:val="TableauNormal"/>
    <w:rsid w:val="001A025A"/>
    <w:pPr>
      <w:spacing w:after="0" w:line="240" w:lineRule="auto"/>
    </w:pPr>
    <w:rPr>
      <w:rFonts w:ascii="Calibri" w:eastAsia="Times New Roman" w:hAnsi="Calibri"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15B14"/>
    <w:pPr>
      <w:autoSpaceDE w:val="0"/>
      <w:autoSpaceDN w:val="0"/>
      <w:adjustRightInd w:val="0"/>
      <w:spacing w:after="0" w:line="240" w:lineRule="auto"/>
    </w:pPr>
    <w:rPr>
      <w:rFonts w:ascii="Calibri" w:hAnsi="Calibri" w:cs="Calibri"/>
      <w:color w:val="000000"/>
      <w:sz w:val="24"/>
      <w:szCs w:val="24"/>
    </w:rPr>
  </w:style>
  <w:style w:type="paragraph" w:styleId="En-ttedetabledesmatires">
    <w:name w:val="TOC Heading"/>
    <w:basedOn w:val="Titre1"/>
    <w:next w:val="Normal"/>
    <w:uiPriority w:val="39"/>
    <w:unhideWhenUsed/>
    <w:qFormat/>
    <w:rsid w:val="00815B14"/>
    <w:pPr>
      <w:numPr>
        <w:numId w:val="0"/>
      </w:numPr>
      <w:outlineLvl w:val="9"/>
    </w:pPr>
    <w:rPr>
      <w:lang w:eastAsia="fr-FR"/>
    </w:rPr>
  </w:style>
  <w:style w:type="paragraph" w:styleId="TM1">
    <w:name w:val="toc 1"/>
    <w:basedOn w:val="Normal"/>
    <w:next w:val="Normal"/>
    <w:autoRedefine/>
    <w:uiPriority w:val="39"/>
    <w:unhideWhenUsed/>
    <w:rsid w:val="00815B14"/>
    <w:pPr>
      <w:spacing w:after="100"/>
    </w:pPr>
  </w:style>
  <w:style w:type="paragraph" w:styleId="TM2">
    <w:name w:val="toc 2"/>
    <w:basedOn w:val="Normal"/>
    <w:next w:val="Normal"/>
    <w:autoRedefine/>
    <w:uiPriority w:val="39"/>
    <w:unhideWhenUsed/>
    <w:rsid w:val="00815B14"/>
    <w:pPr>
      <w:spacing w:after="100"/>
      <w:ind w:left="220"/>
    </w:pPr>
  </w:style>
  <w:style w:type="paragraph" w:styleId="TM3">
    <w:name w:val="toc 3"/>
    <w:basedOn w:val="Normal"/>
    <w:next w:val="Normal"/>
    <w:autoRedefine/>
    <w:uiPriority w:val="39"/>
    <w:unhideWhenUsed/>
    <w:rsid w:val="00815B1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ante.gouv.fr/interoperabilite/ci-sis/espace-publication" TargetMode="External"/><Relationship Id="rId5" Type="http://schemas.openxmlformats.org/officeDocument/2006/relationships/numbering" Target="numbering.xml"/><Relationship Id="rId10"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IconOverlay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D14A4CF1E2BE438B71CAE4DA78829D" ma:contentTypeVersion="8" ma:contentTypeDescription="Crée un document." ma:contentTypeScope="" ma:versionID="a4defc752e19dce251831d319130c6bf">
  <xsd:schema xmlns:xsd="http://www.w3.org/2001/XMLSchema" xmlns:xs="http://www.w3.org/2001/XMLSchema" xmlns:p="http://schemas.microsoft.com/office/2006/metadata/properties" xmlns:ns1="http://schemas.microsoft.com/sharepoint/v3" xmlns:ns2="http://schemas.microsoft.com/sharepoint/v4" xmlns:ns3="f2edafcf-63d9-4075-9254-5dbcc3971186" targetNamespace="http://schemas.microsoft.com/office/2006/metadata/properties" ma:root="true" ma:fieldsID="955f0445d7cb62e1f7da765e54d761b7" ns1:_="" ns2:_="" ns3:_="">
    <xsd:import namespace="http://schemas.microsoft.com/sharepoint/v3"/>
    <xsd:import namespace="http://schemas.microsoft.com/sharepoint/v4"/>
    <xsd:import namespace="f2edafcf-63d9-4075-9254-5dbcc3971186"/>
    <xsd:element name="properties">
      <xsd:complexType>
        <xsd:sequence>
          <xsd:element name="documentManagement">
            <xsd:complexType>
              <xsd:all>
                <xsd:element ref="ns1:EmailSender" minOccurs="0"/>
                <xsd:element ref="ns1:EmailTo" minOccurs="0"/>
                <xsd:element ref="ns1:EmailCc" minOccurs="0"/>
                <xsd:element ref="ns1:EmailFrom" minOccurs="0"/>
                <xsd:element ref="ns1:EmailSubject" minOccurs="0"/>
                <xsd:element ref="ns2:EmailHeaders" minOccurs="0"/>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8" nillable="true" ma:displayName="Expéditeur de courrier électronique" ma:hidden="true" ma:internalName="EmailSender">
      <xsd:simpleType>
        <xsd:restriction base="dms:Note">
          <xsd:maxLength value="255"/>
        </xsd:restriction>
      </xsd:simpleType>
    </xsd:element>
    <xsd:element name="EmailTo" ma:index="9" nillable="true" ma:displayName="Envoyer un message à" ma:hidden="true" ma:internalName="EmailTo">
      <xsd:simpleType>
        <xsd:restriction base="dms:Note">
          <xsd:maxLength value="255"/>
        </xsd:restriction>
      </xsd:simpleType>
    </xsd:element>
    <xsd:element name="EmailCc" ma:index="10" nillable="true" ma:displayName="Cc du message électronique" ma:hidden="true" ma:internalName="EmailCc">
      <xsd:simpleType>
        <xsd:restriction base="dms:Note">
          <xsd:maxLength value="255"/>
        </xsd:restriction>
      </xsd:simpleType>
    </xsd:element>
    <xsd:element name="EmailFrom" ma:index="11" nillable="true" ma:displayName="Message de" ma:hidden="true" ma:internalName="EmailFrom">
      <xsd:simpleType>
        <xsd:restriction base="dms:Text"/>
      </xsd:simpleType>
    </xsd:element>
    <xsd:element name="EmailSubject" ma:index="12" nillable="true" ma:displayName="Objet du message électronique"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3" nillable="true" ma:displayName="En-têtes de courrier électronique" ma:hidden="true" ma:internalName="EmailHeaders">
      <xsd:simpleType>
        <xsd:restriction base="dms:Note"/>
      </xsd:simpleType>
    </xsd:element>
    <xsd:element name="IconOverlay" ma:index="1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edafcf-63d9-4075-9254-5dbcc3971186"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5137B1-064D-40CF-A9C0-EA987D882370}">
  <ds:schemaRefs>
    <ds:schemaRef ds:uri="http://schemas.microsoft.com/office/2006/metadata/propertie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f2edafcf-63d9-4075-9254-5dbcc3971186"/>
    <ds:schemaRef ds:uri="http://schemas.microsoft.com/sharepoint/v4"/>
    <ds:schemaRef ds:uri="http://schemas.microsoft.com/sharepoint/v3"/>
    <ds:schemaRef ds:uri="http://www.w3.org/XML/1998/namespace"/>
  </ds:schemaRefs>
</ds:datastoreItem>
</file>

<file path=customXml/itemProps2.xml><?xml version="1.0" encoding="utf-8"?>
<ds:datastoreItem xmlns:ds="http://schemas.openxmlformats.org/officeDocument/2006/customXml" ds:itemID="{BB7F628B-828A-4FCA-934A-82E90458D4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4"/>
    <ds:schemaRef ds:uri="f2edafcf-63d9-4075-9254-5dbcc39711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A61568-1818-4A70-88AE-8EAD81E2D855}">
  <ds:schemaRefs>
    <ds:schemaRef ds:uri="http://schemas.openxmlformats.org/officeDocument/2006/bibliography"/>
  </ds:schemaRefs>
</ds:datastoreItem>
</file>

<file path=customXml/itemProps4.xml><?xml version="1.0" encoding="utf-8"?>
<ds:datastoreItem xmlns:ds="http://schemas.openxmlformats.org/officeDocument/2006/customXml" ds:itemID="{86E562A9-AB7D-4F9C-BBF5-0047FCC790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1352</Words>
  <Characters>7439</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CHU Toulouse</Company>
  <LinksUpToDate>false</LinksUpToDate>
  <CharactersWithSpaces>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Environnement Informatique DSIO - annexe IntégrationEAI</dc:title>
  <dc:subject/>
  <dc:creator>BOURQUIN Mathieu</dc:creator>
  <cp:keywords/>
  <dc:description/>
  <cp:lastModifiedBy>YOUSFI Mehdi</cp:lastModifiedBy>
  <cp:revision>2</cp:revision>
  <dcterms:created xsi:type="dcterms:W3CDTF">2025-03-13T13:20:00Z</dcterms:created>
  <dcterms:modified xsi:type="dcterms:W3CDTF">2025-03-13T13:20:00Z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0x01010033D14A4CF1E2BE438B71CAE4DA78829D</vt:lpwstr>
  </property>
</Properties>
</file>